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79B3" w14:textId="1DCE2E22" w:rsidR="00AE3601" w:rsidRPr="00035A52" w:rsidRDefault="001D3F63" w:rsidP="00035A52">
      <w:pPr>
        <w:spacing w:line="360" w:lineRule="auto"/>
        <w:jc w:val="center"/>
        <w:rPr>
          <w:rFonts w:ascii="仿宋" w:eastAsia="仿宋" w:hAnsi="仿宋"/>
          <w:sz w:val="32"/>
          <w:szCs w:val="24"/>
        </w:rPr>
      </w:pPr>
      <w:r>
        <w:rPr>
          <w:rFonts w:ascii="仿宋" w:eastAsia="仿宋" w:hAnsi="仿宋" w:cs="宋体" w:hint="eastAsia"/>
          <w:sz w:val="32"/>
          <w:szCs w:val="24"/>
        </w:rPr>
        <w:t>北京中和公益基金会</w:t>
      </w:r>
      <w:r w:rsidR="00C22A41" w:rsidRPr="008834D2">
        <w:rPr>
          <w:rFonts w:ascii="仿宋" w:eastAsia="仿宋" w:hAnsi="仿宋" w:cs="宋体"/>
          <w:sz w:val="32"/>
          <w:szCs w:val="24"/>
        </w:rPr>
        <w:t>资产管理制度</w:t>
      </w:r>
    </w:p>
    <w:p w14:paraId="010BED64" w14:textId="77777777" w:rsidR="00AE3601" w:rsidRPr="008834D2" w:rsidRDefault="00AE3601" w:rsidP="008834D2">
      <w:pPr>
        <w:spacing w:line="360" w:lineRule="auto"/>
        <w:rPr>
          <w:rFonts w:ascii="仿宋" w:eastAsia="仿宋" w:hAnsi="仿宋"/>
          <w:sz w:val="24"/>
          <w:szCs w:val="24"/>
        </w:rPr>
      </w:pPr>
    </w:p>
    <w:p w14:paraId="1A8715BA" w14:textId="79613E9B" w:rsidR="00AE3601" w:rsidRPr="00F11E97" w:rsidRDefault="00C22A41" w:rsidP="00F11E97">
      <w:pPr>
        <w:tabs>
          <w:tab w:val="left" w:pos="360"/>
        </w:tabs>
        <w:spacing w:afterLines="50" w:after="120" w:line="360" w:lineRule="auto"/>
        <w:ind w:firstLineChars="200" w:firstLine="489"/>
        <w:jc w:val="center"/>
        <w:rPr>
          <w:rFonts w:ascii="仿宋" w:eastAsia="仿宋" w:hAnsi="仿宋"/>
          <w:sz w:val="24"/>
          <w:szCs w:val="24"/>
        </w:rPr>
      </w:pPr>
      <w:r w:rsidRPr="00F11E97">
        <w:rPr>
          <w:rFonts w:ascii="仿宋" w:eastAsia="仿宋" w:hAnsi="仿宋" w:cs="宋体"/>
          <w:b/>
          <w:bCs/>
          <w:sz w:val="24"/>
          <w:szCs w:val="24"/>
        </w:rPr>
        <w:t>第一章</w:t>
      </w:r>
      <w:r w:rsidR="008834D2" w:rsidRPr="00F11E97">
        <w:rPr>
          <w:rFonts w:ascii="仿宋" w:eastAsia="仿宋" w:hAnsi="仿宋"/>
          <w:sz w:val="24"/>
          <w:szCs w:val="24"/>
        </w:rPr>
        <w:t xml:space="preserve"> </w:t>
      </w:r>
      <w:r w:rsidRPr="00F11E97">
        <w:rPr>
          <w:rFonts w:ascii="仿宋" w:eastAsia="仿宋" w:hAnsi="仿宋" w:cs="宋体"/>
          <w:b/>
          <w:bCs/>
          <w:sz w:val="24"/>
          <w:szCs w:val="24"/>
        </w:rPr>
        <w:t>总 则</w:t>
      </w:r>
    </w:p>
    <w:p w14:paraId="3B957AD9" w14:textId="0E4AD92C"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第一条 </w:t>
      </w:r>
      <w:r w:rsidRPr="00F11E97">
        <w:rPr>
          <w:rFonts w:ascii="仿宋" w:eastAsia="仿宋" w:hAnsi="仿宋" w:cs="宋体"/>
          <w:sz w:val="24"/>
          <w:szCs w:val="24"/>
        </w:rPr>
        <w:t>为规范</w:t>
      </w:r>
      <w:r w:rsidR="001D3F63">
        <w:rPr>
          <w:rFonts w:ascii="仿宋" w:eastAsia="仿宋" w:hAnsi="仿宋" w:cs="宋体" w:hint="eastAsia"/>
          <w:sz w:val="24"/>
          <w:szCs w:val="24"/>
        </w:rPr>
        <w:t>北京中和公益基金会</w:t>
      </w:r>
      <w:r w:rsidR="008834D2" w:rsidRPr="00F11E97">
        <w:rPr>
          <w:rFonts w:ascii="仿宋" w:eastAsia="仿宋" w:hAnsi="仿宋" w:cs="宋体" w:hint="eastAsia"/>
          <w:sz w:val="24"/>
          <w:szCs w:val="24"/>
        </w:rPr>
        <w:t>（</w:t>
      </w:r>
      <w:r w:rsidR="001D3F63">
        <w:rPr>
          <w:rFonts w:ascii="仿宋" w:eastAsia="仿宋" w:hAnsi="仿宋" w:cs="宋体" w:hint="eastAsia"/>
          <w:sz w:val="24"/>
          <w:szCs w:val="24"/>
        </w:rPr>
        <w:t>以</w:t>
      </w:r>
      <w:r w:rsidR="008834D2" w:rsidRPr="00F11E97">
        <w:rPr>
          <w:rFonts w:ascii="仿宋" w:eastAsia="仿宋" w:hAnsi="仿宋" w:cs="宋体" w:hint="eastAsia"/>
          <w:sz w:val="24"/>
          <w:szCs w:val="24"/>
        </w:rPr>
        <w:t>下简称“</w:t>
      </w:r>
      <w:r w:rsidRPr="00F11E97">
        <w:rPr>
          <w:rFonts w:ascii="仿宋" w:eastAsia="仿宋" w:hAnsi="仿宋" w:cs="宋体"/>
          <w:sz w:val="24"/>
          <w:szCs w:val="24"/>
        </w:rPr>
        <w:t>基金会</w:t>
      </w:r>
      <w:r w:rsidR="008834D2" w:rsidRPr="00F11E97">
        <w:rPr>
          <w:rFonts w:ascii="仿宋" w:eastAsia="仿宋" w:hAnsi="仿宋" w:cs="宋体" w:hint="eastAsia"/>
          <w:sz w:val="24"/>
          <w:szCs w:val="24"/>
        </w:rPr>
        <w:t>”）</w:t>
      </w:r>
      <w:r w:rsidRPr="00F11E97">
        <w:rPr>
          <w:rFonts w:ascii="仿宋" w:eastAsia="仿宋" w:hAnsi="仿宋" w:cs="宋体"/>
          <w:sz w:val="24"/>
          <w:szCs w:val="24"/>
        </w:rPr>
        <w:t>资产管理，根据《中华人民共和国公益事业捐赠法》、</w:t>
      </w:r>
      <w:r w:rsidR="00CD4823">
        <w:rPr>
          <w:rFonts w:ascii="仿宋" w:eastAsia="仿宋" w:hAnsi="仿宋" w:cs="宋体" w:hint="eastAsia"/>
          <w:sz w:val="24"/>
          <w:szCs w:val="24"/>
        </w:rPr>
        <w:t>《中华人民共和国慈善法》、</w:t>
      </w:r>
      <w:r w:rsidRPr="00F11E97">
        <w:rPr>
          <w:rFonts w:ascii="仿宋" w:eastAsia="仿宋" w:hAnsi="仿宋" w:cs="宋体"/>
          <w:sz w:val="24"/>
          <w:szCs w:val="24"/>
        </w:rPr>
        <w:t>《基金会管理条例》、《民政部关于印发&lt;关于规范基金会行为的若干规定（试行）&gt;的通知》、《财政部关于印发&lt;民间非营利组织会计制度&gt;的通知》等规定和本基金会章程，结合实际，制定本制度。</w:t>
      </w:r>
    </w:p>
    <w:p w14:paraId="5CCB8D45" w14:textId="441FDF66"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第二条 </w:t>
      </w:r>
      <w:r w:rsidRPr="00F11E97">
        <w:rPr>
          <w:rFonts w:ascii="仿宋" w:eastAsia="仿宋" w:hAnsi="仿宋" w:cs="宋体"/>
          <w:sz w:val="24"/>
          <w:szCs w:val="24"/>
        </w:rPr>
        <w:t>本制度所称资产管理主要指投资管理、固定资产管理及捐赠物资管理。</w:t>
      </w:r>
    </w:p>
    <w:p w14:paraId="2462204D" w14:textId="512ABB68" w:rsidR="006B271D"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第三条 </w:t>
      </w:r>
      <w:r w:rsidRPr="00F11E97">
        <w:rPr>
          <w:rFonts w:ascii="仿宋" w:eastAsia="仿宋" w:hAnsi="仿宋" w:cs="宋体"/>
          <w:sz w:val="24"/>
          <w:szCs w:val="24"/>
        </w:rPr>
        <w:t>基金会资产管理的基本原则是：合法、谨慎、安全、有效。</w:t>
      </w:r>
    </w:p>
    <w:p w14:paraId="37E4B61C" w14:textId="6F646669"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第四条 </w:t>
      </w:r>
      <w:r w:rsidRPr="00F11E97">
        <w:rPr>
          <w:rFonts w:ascii="仿宋" w:eastAsia="仿宋" w:hAnsi="仿宋" w:cs="宋体"/>
          <w:sz w:val="24"/>
          <w:szCs w:val="24"/>
        </w:rPr>
        <w:t>基金会按照《民间非营利组织会计制度》对资产进行会计核算和披露。</w:t>
      </w:r>
    </w:p>
    <w:p w14:paraId="7DCF7414" w14:textId="77777777" w:rsidR="00AE3601" w:rsidRPr="00F11E97" w:rsidRDefault="00AE3601" w:rsidP="008834D2">
      <w:pPr>
        <w:spacing w:line="360" w:lineRule="auto"/>
        <w:rPr>
          <w:rFonts w:ascii="仿宋" w:eastAsia="仿宋" w:hAnsi="仿宋"/>
          <w:sz w:val="24"/>
          <w:szCs w:val="24"/>
        </w:rPr>
      </w:pPr>
    </w:p>
    <w:p w14:paraId="1CA7E8E2" w14:textId="23378556" w:rsidR="00AE3601" w:rsidRPr="00F11E97" w:rsidRDefault="00C22A41" w:rsidP="00F11E97">
      <w:pPr>
        <w:tabs>
          <w:tab w:val="left" w:pos="360"/>
        </w:tabs>
        <w:spacing w:afterLines="50" w:after="120" w:line="360" w:lineRule="auto"/>
        <w:ind w:firstLineChars="200" w:firstLine="489"/>
        <w:jc w:val="center"/>
        <w:rPr>
          <w:rFonts w:ascii="仿宋" w:eastAsia="仿宋" w:hAnsi="仿宋" w:cs="宋体"/>
          <w:b/>
          <w:bCs/>
          <w:sz w:val="24"/>
          <w:szCs w:val="24"/>
        </w:rPr>
      </w:pPr>
      <w:r w:rsidRPr="00F11E97">
        <w:rPr>
          <w:rFonts w:ascii="仿宋" w:eastAsia="仿宋" w:hAnsi="仿宋" w:cs="宋体"/>
          <w:b/>
          <w:bCs/>
          <w:sz w:val="24"/>
          <w:szCs w:val="24"/>
        </w:rPr>
        <w:t xml:space="preserve">第二章 </w:t>
      </w:r>
      <w:r w:rsidR="001D36E3" w:rsidRPr="00F11E97">
        <w:rPr>
          <w:rFonts w:ascii="仿宋" w:eastAsia="仿宋" w:hAnsi="仿宋" w:cs="宋体"/>
          <w:b/>
          <w:bCs/>
          <w:sz w:val="24"/>
          <w:szCs w:val="24"/>
        </w:rPr>
        <w:t xml:space="preserve"> </w:t>
      </w:r>
      <w:r w:rsidRPr="00F11E97">
        <w:rPr>
          <w:rFonts w:ascii="仿宋" w:eastAsia="仿宋" w:hAnsi="仿宋" w:cs="宋体"/>
          <w:b/>
          <w:bCs/>
          <w:sz w:val="24"/>
          <w:szCs w:val="24"/>
        </w:rPr>
        <w:t>投资管理</w:t>
      </w:r>
    </w:p>
    <w:p w14:paraId="76FAE308" w14:textId="61333C54"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第五条 </w:t>
      </w:r>
      <w:r w:rsidRPr="00F11E97">
        <w:rPr>
          <w:rFonts w:ascii="仿宋" w:eastAsia="仿宋" w:hAnsi="仿宋" w:cs="宋体"/>
          <w:sz w:val="24"/>
          <w:szCs w:val="24"/>
        </w:rPr>
        <w:t>基金会投资及资产的保值增值，遵循以下规定：</w:t>
      </w:r>
    </w:p>
    <w:p w14:paraId="0C19C907" w14:textId="41A7EE2E"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（一）坚持合法、安全、有效的原则，符合基金会的宗旨，维护基金会的信誉，遵守捐赠人和受助人的约定；</w:t>
      </w:r>
    </w:p>
    <w:p w14:paraId="78BD532B" w14:textId="62693898"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sz w:val="24"/>
          <w:szCs w:val="24"/>
        </w:rPr>
        <w:t>（二）基金会的投资活动以不妨碍正常公益活动为前提，必须保持足够的现金和货币基金等流动性较高的资产，以保证按捐赠和资助协议的约定及时、足额划拨应付款项，保证公益支出的实现；</w:t>
      </w:r>
    </w:p>
    <w:p w14:paraId="530C928A" w14:textId="740A8E3F"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sz w:val="24"/>
          <w:szCs w:val="24"/>
        </w:rPr>
        <w:t>（三）基金会可用于投资的资产限于非限定性资产、在投资期间暂不需要拨付的限定性资产；</w:t>
      </w:r>
    </w:p>
    <w:p w14:paraId="5DCD4FB4" w14:textId="53FFFC73"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（四）基金会进行委托投资，应当委托银行或者其他金融机构进行。</w:t>
      </w:r>
    </w:p>
    <w:p w14:paraId="0BBBBEBD" w14:textId="1E84A178"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第六条 </w:t>
      </w:r>
      <w:r w:rsidRPr="00F11E97">
        <w:rPr>
          <w:rFonts w:ascii="仿宋" w:eastAsia="仿宋" w:hAnsi="仿宋" w:cs="宋体"/>
          <w:sz w:val="24"/>
          <w:szCs w:val="24"/>
        </w:rPr>
        <w:t>依据《中华人民共和国慈善法》《基金会管理条例》《慈善组织保值增值投资活动管理暂行办法》等相关规定，考虑到投资决策需要专业水准和必要的经验才能作出合理的判断，为了提高投资决策的科学性，保证投资决策效率，使基金会闲置资金能最大限度保值增值增加利息收入，在基金会备用金存款之外，并且保证资金安全的前提下做适当理财或投资，以增加基金会资金收益：</w:t>
      </w:r>
    </w:p>
    <w:p w14:paraId="37D0EF87" w14:textId="17FF3B9D" w:rsidR="006B271D" w:rsidRPr="00F11E97" w:rsidRDefault="00AE7F00" w:rsidP="00AE7F00">
      <w:pPr>
        <w:tabs>
          <w:tab w:val="left" w:pos="1200"/>
        </w:tabs>
        <w:spacing w:line="360" w:lineRule="auto"/>
        <w:rPr>
          <w:rFonts w:ascii="仿宋" w:eastAsia="仿宋" w:hAnsi="仿宋" w:cs="宋体"/>
          <w:sz w:val="24"/>
          <w:szCs w:val="24"/>
        </w:rPr>
      </w:pPr>
      <w:r w:rsidRPr="00F11E97">
        <w:rPr>
          <w:rFonts w:ascii="仿宋" w:eastAsia="仿宋" w:hAnsi="仿宋" w:cs="宋体" w:hint="eastAsia"/>
          <w:sz w:val="24"/>
          <w:szCs w:val="24"/>
        </w:rPr>
        <w:t>（一）</w:t>
      </w:r>
      <w:r w:rsidR="00C22A41" w:rsidRPr="00F11E97">
        <w:rPr>
          <w:rFonts w:ascii="仿宋" w:eastAsia="仿宋" w:hAnsi="仿宋" w:cs="宋体"/>
          <w:sz w:val="24"/>
          <w:szCs w:val="24"/>
        </w:rPr>
        <w:t>基金会可用于保值增值即用于理财或投资的资产限于非限定性资产、在保值增值期间暂不需要拨付的限定性资产；</w:t>
      </w:r>
    </w:p>
    <w:p w14:paraId="1F6DCAE6" w14:textId="40408AC5" w:rsidR="00AE3601" w:rsidRPr="00F11E97" w:rsidRDefault="00AE7F00" w:rsidP="00AE7F00">
      <w:pPr>
        <w:tabs>
          <w:tab w:val="left" w:pos="1200"/>
        </w:tabs>
        <w:spacing w:line="360" w:lineRule="auto"/>
        <w:rPr>
          <w:rFonts w:ascii="仿宋" w:eastAsia="仿宋" w:hAnsi="仿宋"/>
          <w:sz w:val="24"/>
          <w:szCs w:val="24"/>
        </w:rPr>
      </w:pPr>
      <w:r w:rsidRPr="00F11E97">
        <w:rPr>
          <w:rFonts w:ascii="仿宋" w:eastAsia="仿宋" w:hAnsi="仿宋" w:cs="宋体" w:hint="eastAsia"/>
          <w:sz w:val="24"/>
          <w:szCs w:val="24"/>
        </w:rPr>
        <w:lastRenderedPageBreak/>
        <w:t>（二）</w:t>
      </w:r>
      <w:r w:rsidR="00C22A41" w:rsidRPr="00F11E97">
        <w:rPr>
          <w:rFonts w:ascii="仿宋" w:eastAsia="仿宋" w:hAnsi="仿宋" w:cs="宋体"/>
          <w:sz w:val="24"/>
          <w:szCs w:val="24"/>
        </w:rPr>
        <w:t>备用金存款额度：以保证日常业务运转为前提，并可适当组合各类存款类型，在保证有重大事件发生可灵活调用，在此灵活性基础上提高收益率；</w:t>
      </w:r>
    </w:p>
    <w:p w14:paraId="6C920175" w14:textId="00C0A80B" w:rsidR="00AE3601" w:rsidRPr="00F11E97" w:rsidRDefault="00AE7F00" w:rsidP="00AE7F00">
      <w:pPr>
        <w:tabs>
          <w:tab w:val="left" w:pos="1200"/>
        </w:tabs>
        <w:spacing w:line="360" w:lineRule="auto"/>
        <w:jc w:val="both"/>
        <w:rPr>
          <w:rFonts w:ascii="仿宋" w:eastAsia="仿宋" w:hAnsi="仿宋" w:cs="宋体"/>
          <w:sz w:val="24"/>
          <w:szCs w:val="24"/>
        </w:rPr>
      </w:pPr>
      <w:r w:rsidRPr="00F11E97">
        <w:rPr>
          <w:rFonts w:ascii="仿宋" w:eastAsia="仿宋" w:hAnsi="仿宋" w:cs="宋体" w:hint="eastAsia"/>
          <w:sz w:val="24"/>
          <w:szCs w:val="24"/>
        </w:rPr>
        <w:t>（三）</w:t>
      </w:r>
      <w:r w:rsidR="00C22A41" w:rsidRPr="00F11E97">
        <w:rPr>
          <w:rFonts w:ascii="仿宋" w:eastAsia="仿宋" w:hAnsi="仿宋" w:cs="宋体"/>
          <w:sz w:val="24"/>
          <w:szCs w:val="24"/>
        </w:rPr>
        <w:t>理财及投资产品类型：限定为保本型理财产品或信用评级为 AAA 货币市场基金，具体理财及投资方案由</w:t>
      </w:r>
      <w:r w:rsidR="001D3F63">
        <w:rPr>
          <w:rFonts w:ascii="仿宋" w:eastAsia="仿宋" w:hAnsi="仿宋" w:cs="宋体" w:hint="eastAsia"/>
          <w:sz w:val="24"/>
          <w:szCs w:val="24"/>
        </w:rPr>
        <w:t>北京中和公益基金会</w:t>
      </w:r>
      <w:r w:rsidR="00C22A41" w:rsidRPr="00F11E97">
        <w:rPr>
          <w:rFonts w:ascii="仿宋" w:eastAsia="仿宋" w:hAnsi="仿宋" w:cs="宋体"/>
          <w:sz w:val="24"/>
          <w:szCs w:val="24"/>
        </w:rPr>
        <w:t>本着兼顾资金安全及收益最大化的原则进行操作；</w:t>
      </w:r>
    </w:p>
    <w:p w14:paraId="4145D6C0" w14:textId="7AB1B501" w:rsidR="00AE3601" w:rsidRPr="00F11E97" w:rsidRDefault="00AE7F00" w:rsidP="00AE7F00">
      <w:pPr>
        <w:tabs>
          <w:tab w:val="left" w:pos="1200"/>
        </w:tabs>
        <w:spacing w:line="360" w:lineRule="auto"/>
        <w:rPr>
          <w:rFonts w:ascii="仿宋" w:eastAsia="仿宋" w:hAnsi="仿宋" w:cs="宋体"/>
          <w:sz w:val="24"/>
          <w:szCs w:val="24"/>
        </w:rPr>
      </w:pPr>
      <w:r w:rsidRPr="00F11E97">
        <w:rPr>
          <w:rFonts w:ascii="仿宋" w:eastAsia="仿宋" w:hAnsi="仿宋" w:cs="宋体" w:hint="eastAsia"/>
          <w:sz w:val="24"/>
          <w:szCs w:val="24"/>
        </w:rPr>
        <w:t>（四）</w:t>
      </w:r>
      <w:r w:rsidR="00C22A41" w:rsidRPr="00F11E97">
        <w:rPr>
          <w:rFonts w:ascii="仿宋" w:eastAsia="仿宋" w:hAnsi="仿宋" w:cs="宋体"/>
          <w:sz w:val="24"/>
          <w:szCs w:val="24"/>
        </w:rPr>
        <w:t>理财或投资产品周期：理财产品不超过3个月，循环购买，以备运营之需；货币市场基金根据基金会业务需要可随时赎回；</w:t>
      </w:r>
    </w:p>
    <w:p w14:paraId="1D33F81C" w14:textId="2DA96408" w:rsidR="00AE3601" w:rsidRPr="00F11E97" w:rsidRDefault="00AE7F00" w:rsidP="00AE7F00">
      <w:pPr>
        <w:tabs>
          <w:tab w:val="left" w:pos="1200"/>
        </w:tabs>
        <w:spacing w:line="360" w:lineRule="auto"/>
        <w:rPr>
          <w:rFonts w:ascii="仿宋" w:eastAsia="仿宋" w:hAnsi="仿宋" w:cs="宋体"/>
          <w:sz w:val="24"/>
          <w:szCs w:val="24"/>
        </w:rPr>
      </w:pPr>
      <w:r w:rsidRPr="00F11E97">
        <w:rPr>
          <w:rFonts w:ascii="仿宋" w:eastAsia="仿宋" w:hAnsi="仿宋" w:cs="宋体" w:hint="eastAsia"/>
          <w:sz w:val="24"/>
          <w:szCs w:val="24"/>
        </w:rPr>
        <w:t>（五）</w:t>
      </w:r>
      <w:r w:rsidR="00C22A41" w:rsidRPr="00F11E97">
        <w:rPr>
          <w:rFonts w:ascii="仿宋" w:eastAsia="仿宋" w:hAnsi="仿宋" w:cs="宋体"/>
          <w:sz w:val="24"/>
          <w:szCs w:val="24"/>
        </w:rPr>
        <w:t>投资及理财产品额度：在满足以上备用金存款要求及投资、理财产品类型的基础上，基金会用于投资及理财的资产占基金会总资产的比例不高于90%；</w:t>
      </w:r>
    </w:p>
    <w:p w14:paraId="2F269B59" w14:textId="0FEF98AF" w:rsidR="00AE3601" w:rsidRPr="00F11E97" w:rsidRDefault="00AE7F00" w:rsidP="00AE7F00">
      <w:pPr>
        <w:tabs>
          <w:tab w:val="left" w:pos="1200"/>
        </w:tabs>
        <w:spacing w:line="360" w:lineRule="auto"/>
        <w:rPr>
          <w:rFonts w:ascii="仿宋" w:eastAsia="仿宋" w:hAnsi="仿宋" w:cs="宋体"/>
          <w:sz w:val="24"/>
          <w:szCs w:val="24"/>
        </w:rPr>
      </w:pPr>
      <w:r w:rsidRPr="00F11E97">
        <w:rPr>
          <w:rFonts w:ascii="仿宋" w:eastAsia="仿宋" w:hAnsi="仿宋" w:cs="宋体" w:hint="eastAsia"/>
          <w:sz w:val="24"/>
          <w:szCs w:val="24"/>
        </w:rPr>
        <w:t>（</w:t>
      </w:r>
      <w:r w:rsidR="00220C9E" w:rsidRPr="00F11E97">
        <w:rPr>
          <w:rFonts w:ascii="仿宋" w:eastAsia="仿宋" w:hAnsi="仿宋" w:cs="宋体" w:hint="eastAsia"/>
          <w:sz w:val="24"/>
          <w:szCs w:val="24"/>
        </w:rPr>
        <w:t>六</w:t>
      </w:r>
      <w:r w:rsidRPr="00F11E97">
        <w:rPr>
          <w:rFonts w:ascii="仿宋" w:eastAsia="仿宋" w:hAnsi="仿宋" w:cs="宋体" w:hint="eastAsia"/>
          <w:sz w:val="24"/>
          <w:szCs w:val="24"/>
        </w:rPr>
        <w:t>）</w:t>
      </w:r>
      <w:r w:rsidR="00C22A41" w:rsidRPr="00F11E97">
        <w:rPr>
          <w:rFonts w:ascii="仿宋" w:eastAsia="仿宋" w:hAnsi="仿宋" w:cs="宋体"/>
          <w:sz w:val="24"/>
          <w:szCs w:val="24"/>
        </w:rPr>
        <w:t>投资事项的审批权限：</w:t>
      </w:r>
    </w:p>
    <w:p w14:paraId="7D597BFC" w14:textId="32194B12" w:rsidR="00AE3601" w:rsidRPr="00F11E97" w:rsidRDefault="00C22A41" w:rsidP="00AE7F00">
      <w:pPr>
        <w:numPr>
          <w:ilvl w:val="0"/>
          <w:numId w:val="12"/>
        </w:numPr>
        <w:spacing w:line="360" w:lineRule="auto"/>
        <w:ind w:hanging="278"/>
        <w:rPr>
          <w:rFonts w:ascii="仿宋" w:eastAsia="仿宋" w:hAnsi="仿宋" w:cs="宋体"/>
          <w:sz w:val="24"/>
          <w:szCs w:val="24"/>
        </w:rPr>
      </w:pPr>
      <w:r w:rsidRPr="00F11E97">
        <w:rPr>
          <w:rFonts w:ascii="仿宋" w:eastAsia="仿宋" w:hAnsi="仿宋" w:cs="宋体"/>
          <w:sz w:val="24"/>
          <w:szCs w:val="24"/>
        </w:rPr>
        <w:t>重大投资事项，包括年度投资计划，超过</w:t>
      </w:r>
      <w:r w:rsidR="001D3F63">
        <w:rPr>
          <w:rFonts w:ascii="仿宋" w:eastAsia="仿宋" w:hAnsi="仿宋" w:cs="宋体" w:hint="eastAsia"/>
          <w:sz w:val="24"/>
          <w:szCs w:val="24"/>
        </w:rPr>
        <w:t>2</w:t>
      </w:r>
      <w:r w:rsidRPr="00F11E97">
        <w:rPr>
          <w:rFonts w:ascii="仿宋" w:eastAsia="仿宋" w:hAnsi="仿宋" w:cs="宋体"/>
          <w:sz w:val="24"/>
          <w:szCs w:val="24"/>
        </w:rPr>
        <w:t>00万元的投资活动以及理事会认为对基金会影响重大的其他投资活动，由理事会审议表决。</w:t>
      </w:r>
    </w:p>
    <w:p w14:paraId="475D6D52" w14:textId="77D73E96" w:rsidR="00AE3601" w:rsidRPr="00F11E97" w:rsidRDefault="00C22A41" w:rsidP="008834D2">
      <w:pPr>
        <w:numPr>
          <w:ilvl w:val="0"/>
          <w:numId w:val="12"/>
        </w:numPr>
        <w:spacing w:line="360" w:lineRule="auto"/>
        <w:ind w:hanging="278"/>
        <w:rPr>
          <w:rFonts w:ascii="仿宋" w:eastAsia="仿宋" w:hAnsi="仿宋" w:cs="宋体"/>
          <w:sz w:val="24"/>
          <w:szCs w:val="24"/>
        </w:rPr>
      </w:pPr>
      <w:r w:rsidRPr="00F11E97">
        <w:rPr>
          <w:rFonts w:ascii="仿宋" w:eastAsia="仿宋" w:hAnsi="仿宋" w:cs="宋体"/>
          <w:sz w:val="24"/>
          <w:szCs w:val="24"/>
        </w:rPr>
        <w:t>除重大投资事项以外，由理事会授权秘书长审批（秘书长空缺的情况下，理事长代秘书长审批）。</w:t>
      </w:r>
    </w:p>
    <w:p w14:paraId="05ADA2BF" w14:textId="1788ED37"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第七条 </w:t>
      </w:r>
      <w:r w:rsidRPr="00F11E97">
        <w:rPr>
          <w:rFonts w:ascii="仿宋" w:eastAsia="仿宋" w:hAnsi="仿宋" w:cs="宋体"/>
          <w:sz w:val="24"/>
          <w:szCs w:val="24"/>
        </w:rPr>
        <w:t>基金会各项投资应明确投资止损原则，通过有效的过程管理控制投资风险。</w:t>
      </w:r>
    </w:p>
    <w:p w14:paraId="20871DBC" w14:textId="7B012008" w:rsidR="00AE3601" w:rsidRPr="00F11E97" w:rsidRDefault="00C22A41" w:rsidP="00AE7F00">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第八条 </w:t>
      </w:r>
      <w:r w:rsidRPr="00F11E97">
        <w:rPr>
          <w:rFonts w:ascii="仿宋" w:eastAsia="仿宋" w:hAnsi="仿宋" w:cs="宋体"/>
          <w:sz w:val="24"/>
          <w:szCs w:val="24"/>
        </w:rPr>
        <w:t>基金会一般不直接投资举办经营性经济实体；确因特殊情况需要投资或参股经营性经济实体，经过风险评估和充分论证，谨慎参与，且投资收益高于银行同期存款利率；所投资举办的经营性经济实体资产和收益属于基金会所有，每年应进行财务审计，并将财务审计报告报送登记管理机关备案。</w:t>
      </w:r>
    </w:p>
    <w:p w14:paraId="2D7A49E7" w14:textId="7536D6ED" w:rsidR="008B7995" w:rsidRPr="00F11E97" w:rsidRDefault="00C22A41" w:rsidP="008834D2">
      <w:pPr>
        <w:spacing w:line="360" w:lineRule="auto"/>
        <w:rPr>
          <w:rFonts w:ascii="仿宋" w:eastAsia="仿宋" w:hAnsi="仿宋" w:cs="宋体"/>
          <w:sz w:val="24"/>
          <w:szCs w:val="24"/>
        </w:rPr>
      </w:pPr>
      <w:r w:rsidRPr="00F11E97">
        <w:rPr>
          <w:rFonts w:ascii="仿宋" w:eastAsia="仿宋" w:hAnsi="仿宋" w:cs="宋体"/>
          <w:b/>
          <w:bCs/>
          <w:sz w:val="24"/>
          <w:szCs w:val="24"/>
        </w:rPr>
        <w:t xml:space="preserve">第九条 </w:t>
      </w:r>
      <w:r w:rsidRPr="00F11E97">
        <w:rPr>
          <w:rFonts w:ascii="仿宋" w:eastAsia="仿宋" w:hAnsi="仿宋" w:cs="宋体"/>
          <w:sz w:val="24"/>
          <w:szCs w:val="24"/>
        </w:rPr>
        <w:t>本基金会投资资产占基金会总资产的比例一般为50%，最高不超过90%。</w:t>
      </w:r>
    </w:p>
    <w:p w14:paraId="7A8C6F5D" w14:textId="5FF74E0E"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第十条 </w:t>
      </w:r>
      <w:r w:rsidRPr="00F11E97">
        <w:rPr>
          <w:rFonts w:ascii="仿宋" w:eastAsia="仿宋" w:hAnsi="仿宋" w:cs="宋体"/>
          <w:sz w:val="24"/>
          <w:szCs w:val="24"/>
        </w:rPr>
        <w:t>投资项目应当建立专项档案，完整保存投资的论证、审批、管理和回收等全过程资料。</w:t>
      </w:r>
    </w:p>
    <w:p w14:paraId="295B64DD" w14:textId="77777777" w:rsidR="00AE3601" w:rsidRPr="00F11E97" w:rsidRDefault="00AE3601" w:rsidP="008834D2">
      <w:pPr>
        <w:spacing w:line="360" w:lineRule="auto"/>
        <w:rPr>
          <w:rFonts w:ascii="仿宋" w:eastAsia="仿宋" w:hAnsi="仿宋"/>
          <w:sz w:val="24"/>
          <w:szCs w:val="24"/>
        </w:rPr>
      </w:pPr>
    </w:p>
    <w:p w14:paraId="42E4665F" w14:textId="2403052B" w:rsidR="00AE3601" w:rsidRPr="00F11E97" w:rsidRDefault="00C22A41" w:rsidP="00F11E97">
      <w:pPr>
        <w:tabs>
          <w:tab w:val="left" w:pos="360"/>
        </w:tabs>
        <w:spacing w:afterLines="50" w:after="120" w:line="360" w:lineRule="auto"/>
        <w:ind w:firstLineChars="200" w:firstLine="489"/>
        <w:jc w:val="center"/>
        <w:rPr>
          <w:rFonts w:ascii="仿宋" w:eastAsia="仿宋" w:hAnsi="仿宋" w:cs="宋体"/>
          <w:b/>
          <w:bCs/>
          <w:sz w:val="24"/>
          <w:szCs w:val="24"/>
        </w:rPr>
      </w:pPr>
      <w:r w:rsidRPr="00F11E97">
        <w:rPr>
          <w:rFonts w:ascii="仿宋" w:eastAsia="仿宋" w:hAnsi="仿宋" w:cs="宋体"/>
          <w:b/>
          <w:bCs/>
          <w:sz w:val="24"/>
          <w:szCs w:val="24"/>
        </w:rPr>
        <w:t>第三章 固定资产管理</w:t>
      </w:r>
    </w:p>
    <w:p w14:paraId="399AAE10" w14:textId="70C2FC62"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第十一条 </w:t>
      </w:r>
      <w:r w:rsidRPr="00F11E97">
        <w:rPr>
          <w:rFonts w:ascii="仿宋" w:eastAsia="仿宋" w:hAnsi="仿宋" w:cs="宋体"/>
          <w:sz w:val="24"/>
          <w:szCs w:val="24"/>
        </w:rPr>
        <w:t>固定资产确认标准：固定资产是指本基金会为行政管理、提供服务、生产商品或者出租目的而持有的，预计使用年限超过1年，且单位价值 5000 元（含）以上，并在使用过程中保持原有物质形态的资产，包括房屋及建筑物、机器设备、运输设备、工具器具等。</w:t>
      </w:r>
    </w:p>
    <w:p w14:paraId="72A77131" w14:textId="03593D4E"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lastRenderedPageBreak/>
        <w:t xml:space="preserve">第十二条 </w:t>
      </w:r>
      <w:r w:rsidRPr="00F11E97">
        <w:rPr>
          <w:rFonts w:ascii="仿宋" w:eastAsia="仿宋" w:hAnsi="仿宋" w:cs="宋体"/>
          <w:sz w:val="24"/>
          <w:szCs w:val="24"/>
        </w:rPr>
        <w:t>对于预算内固定资产的采购，由使用部门上报申请，行政人员汇总，并按秘书处相关财务权限审批后方可采购。</w:t>
      </w:r>
    </w:p>
    <w:p w14:paraId="64ED9C94" w14:textId="11919D00"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第十三条 </w:t>
      </w:r>
      <w:r w:rsidRPr="00F11E97">
        <w:rPr>
          <w:rFonts w:ascii="仿宋" w:eastAsia="仿宋" w:hAnsi="仿宋" w:cs="宋体"/>
          <w:sz w:val="24"/>
          <w:szCs w:val="24"/>
        </w:rPr>
        <w:t>固定资产购回后，须由行政人员办理入库手续，然后由使用部门领出，指定专人负责保管，填写固定资产领用单。</w:t>
      </w:r>
    </w:p>
    <w:p w14:paraId="2335A6DC" w14:textId="448E3300" w:rsidR="00AE3601" w:rsidRPr="00F11E97" w:rsidRDefault="00C22A41" w:rsidP="001A43CF">
      <w:pPr>
        <w:tabs>
          <w:tab w:val="left" w:pos="1540"/>
        </w:tabs>
        <w:spacing w:line="360" w:lineRule="auto"/>
        <w:rPr>
          <w:rFonts w:ascii="仿宋" w:eastAsia="仿宋" w:hAnsi="仿宋"/>
          <w:sz w:val="24"/>
          <w:szCs w:val="24"/>
        </w:rPr>
      </w:pPr>
      <w:r w:rsidRPr="00F11E97">
        <w:rPr>
          <w:rFonts w:ascii="仿宋" w:eastAsia="仿宋" w:hAnsi="仿宋" w:cs="宋体"/>
          <w:b/>
          <w:bCs/>
          <w:sz w:val="24"/>
          <w:szCs w:val="24"/>
        </w:rPr>
        <w:t>第十四条</w:t>
      </w:r>
      <w:r w:rsidR="001A43CF" w:rsidRPr="00F11E97">
        <w:rPr>
          <w:rFonts w:ascii="仿宋" w:eastAsia="仿宋" w:hAnsi="仿宋"/>
          <w:sz w:val="24"/>
          <w:szCs w:val="24"/>
        </w:rPr>
        <w:t xml:space="preserve"> </w:t>
      </w:r>
      <w:r w:rsidRPr="00F11E97">
        <w:rPr>
          <w:rFonts w:ascii="仿宋" w:eastAsia="仿宋" w:hAnsi="仿宋" w:cs="宋体"/>
          <w:sz w:val="24"/>
          <w:szCs w:val="24"/>
        </w:rPr>
        <w:t>财务人员需对固定资产建立台账，制定折旧政策。</w:t>
      </w:r>
      <w:bookmarkStart w:id="0" w:name="page3"/>
      <w:bookmarkEnd w:id="0"/>
    </w:p>
    <w:p w14:paraId="5E943AC6" w14:textId="2A0C8E84" w:rsidR="00AE3601" w:rsidRPr="00F11E97" w:rsidRDefault="001A43CF" w:rsidP="008834D2">
      <w:pPr>
        <w:tabs>
          <w:tab w:val="left" w:pos="1040"/>
        </w:tabs>
        <w:spacing w:line="360" w:lineRule="auto"/>
        <w:rPr>
          <w:rFonts w:ascii="仿宋" w:eastAsia="仿宋" w:hAnsi="仿宋"/>
          <w:sz w:val="24"/>
          <w:szCs w:val="24"/>
        </w:rPr>
      </w:pPr>
      <w:r w:rsidRPr="00F11E97">
        <w:rPr>
          <w:rFonts w:ascii="仿宋" w:eastAsia="仿宋" w:hAnsi="仿宋" w:cs="宋体" w:hint="eastAsia"/>
          <w:sz w:val="24"/>
          <w:szCs w:val="24"/>
        </w:rPr>
        <w:t>（一）</w:t>
      </w:r>
      <w:r w:rsidR="00C22A41" w:rsidRPr="00F11E97">
        <w:rPr>
          <w:rFonts w:ascii="仿宋" w:eastAsia="仿宋" w:hAnsi="仿宋" w:cs="宋体"/>
          <w:sz w:val="24"/>
          <w:szCs w:val="24"/>
        </w:rPr>
        <w:t>计提折旧方法：基金会采用平均年限法计提折旧。</w:t>
      </w:r>
    </w:p>
    <w:p w14:paraId="43EC8B71" w14:textId="4A605616" w:rsidR="00AE3601" w:rsidRPr="00F11E97" w:rsidRDefault="001A43CF" w:rsidP="001A43CF">
      <w:pPr>
        <w:tabs>
          <w:tab w:val="left" w:pos="1060"/>
        </w:tabs>
        <w:spacing w:line="360" w:lineRule="auto"/>
        <w:jc w:val="both"/>
        <w:rPr>
          <w:rFonts w:ascii="仿宋" w:eastAsia="仿宋" w:hAnsi="仿宋" w:cs="宋体"/>
          <w:sz w:val="24"/>
          <w:szCs w:val="24"/>
        </w:rPr>
      </w:pPr>
      <w:r w:rsidRPr="00F11E97">
        <w:rPr>
          <w:rFonts w:ascii="仿宋" w:eastAsia="仿宋" w:hAnsi="仿宋" w:cs="宋体" w:hint="eastAsia"/>
          <w:sz w:val="24"/>
          <w:szCs w:val="24"/>
        </w:rPr>
        <w:t>（二）</w:t>
      </w:r>
      <w:r w:rsidR="00C22A41" w:rsidRPr="00F11E97">
        <w:rPr>
          <w:rFonts w:ascii="仿宋" w:eastAsia="仿宋" w:hAnsi="仿宋" w:cs="宋体"/>
          <w:sz w:val="24"/>
          <w:szCs w:val="24"/>
        </w:rPr>
        <w:t>计提折旧的基数：固定资产初始计量的基本原则是采用实际成本原则，即固定资产按取得时的实际成本入账，固定资产的实际成本包括买价、包装费、运输费、交纳的有关税金等相关费用，以及为使固定资产达到预定可使用状态前所必要的支出。</w:t>
      </w:r>
    </w:p>
    <w:p w14:paraId="0BAFD706" w14:textId="4263E06C" w:rsidR="00AE3601" w:rsidRPr="00F11E97" w:rsidRDefault="001A43CF" w:rsidP="001A43CF">
      <w:pPr>
        <w:tabs>
          <w:tab w:val="left" w:pos="1040"/>
        </w:tabs>
        <w:spacing w:line="360" w:lineRule="auto"/>
        <w:rPr>
          <w:rFonts w:ascii="仿宋" w:eastAsia="仿宋" w:hAnsi="仿宋"/>
          <w:sz w:val="24"/>
          <w:szCs w:val="24"/>
        </w:rPr>
      </w:pPr>
      <w:r w:rsidRPr="00F11E97">
        <w:rPr>
          <w:rFonts w:ascii="仿宋" w:eastAsia="仿宋" w:hAnsi="仿宋" w:cs="宋体" w:hint="eastAsia"/>
          <w:sz w:val="24"/>
          <w:szCs w:val="24"/>
        </w:rPr>
        <w:t>（三）</w:t>
      </w:r>
      <w:r w:rsidR="00C22A41" w:rsidRPr="00F11E97">
        <w:rPr>
          <w:rFonts w:ascii="仿宋" w:eastAsia="仿宋" w:hAnsi="仿宋" w:cs="宋体"/>
          <w:sz w:val="24"/>
          <w:szCs w:val="24"/>
        </w:rPr>
        <w:t>固定资产的净残值：基金会现有固定资产不计残值；</w:t>
      </w:r>
    </w:p>
    <w:p w14:paraId="5AE52AB8" w14:textId="5F3C51FE" w:rsidR="00AE3601" w:rsidRPr="00F11E97" w:rsidRDefault="001A43CF" w:rsidP="001A43CF">
      <w:pPr>
        <w:tabs>
          <w:tab w:val="left" w:pos="1060"/>
        </w:tabs>
        <w:spacing w:line="360" w:lineRule="auto"/>
        <w:jc w:val="both"/>
        <w:rPr>
          <w:rFonts w:ascii="仿宋" w:eastAsia="仿宋" w:hAnsi="仿宋" w:cs="宋体"/>
          <w:sz w:val="24"/>
          <w:szCs w:val="24"/>
        </w:rPr>
      </w:pPr>
      <w:r w:rsidRPr="00F11E97">
        <w:rPr>
          <w:rFonts w:ascii="仿宋" w:eastAsia="仿宋" w:hAnsi="仿宋" w:cs="宋体" w:hint="eastAsia"/>
          <w:sz w:val="24"/>
          <w:szCs w:val="24"/>
        </w:rPr>
        <w:t>（四）</w:t>
      </w:r>
      <w:r w:rsidR="00C22A41" w:rsidRPr="00F11E97">
        <w:rPr>
          <w:rFonts w:ascii="仿宋" w:eastAsia="仿宋" w:hAnsi="仿宋" w:cs="宋体"/>
          <w:sz w:val="24"/>
          <w:szCs w:val="24"/>
        </w:rPr>
        <w:t>计提折旧年限：一般电子设备的折旧年限为3年，家具类的折旧年限为5年；汽车的折旧年限为10年。折旧额应按月计提。当月增加的固定资产，当月不计提折旧，从下月起计提折旧，当月减少的固定资产，当月照提折</w:t>
      </w:r>
    </w:p>
    <w:p w14:paraId="6088964F" w14:textId="2A737AF0"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旧，从下月起不提折旧。</w:t>
      </w:r>
    </w:p>
    <w:p w14:paraId="2B126057" w14:textId="40129BD3" w:rsidR="00AE3601" w:rsidRPr="00F11E97" w:rsidRDefault="001A43CF" w:rsidP="008834D2">
      <w:pPr>
        <w:tabs>
          <w:tab w:val="left" w:pos="1040"/>
        </w:tabs>
        <w:spacing w:line="360" w:lineRule="auto"/>
        <w:rPr>
          <w:rFonts w:ascii="仿宋" w:eastAsia="仿宋" w:hAnsi="仿宋"/>
          <w:sz w:val="24"/>
          <w:szCs w:val="24"/>
        </w:rPr>
      </w:pPr>
      <w:r w:rsidRPr="00F11E97">
        <w:rPr>
          <w:rFonts w:ascii="仿宋" w:eastAsia="仿宋" w:hAnsi="仿宋" w:cs="宋体" w:hint="eastAsia"/>
          <w:sz w:val="24"/>
          <w:szCs w:val="24"/>
        </w:rPr>
        <w:t>（五）</w:t>
      </w:r>
      <w:r w:rsidR="00C22A41" w:rsidRPr="00F11E97">
        <w:rPr>
          <w:rFonts w:ascii="仿宋" w:eastAsia="仿宋" w:hAnsi="仿宋" w:cs="宋体"/>
          <w:sz w:val="24"/>
          <w:szCs w:val="24"/>
        </w:rPr>
        <w:t>提足折旧但仍然继续使用的固定资产和提前报废的固定资产均不再提取折旧。</w:t>
      </w:r>
    </w:p>
    <w:p w14:paraId="48AAF5F4" w14:textId="5C5B331B" w:rsidR="00AE3601" w:rsidRPr="00F11E97" w:rsidRDefault="001A43CF" w:rsidP="001A43CF">
      <w:pPr>
        <w:tabs>
          <w:tab w:val="left" w:pos="1060"/>
        </w:tabs>
        <w:spacing w:line="360" w:lineRule="auto"/>
        <w:rPr>
          <w:rFonts w:ascii="仿宋" w:eastAsia="仿宋" w:hAnsi="仿宋" w:cs="宋体"/>
          <w:sz w:val="24"/>
          <w:szCs w:val="24"/>
        </w:rPr>
      </w:pPr>
      <w:r w:rsidRPr="00F11E97">
        <w:rPr>
          <w:rFonts w:ascii="仿宋" w:eastAsia="仿宋" w:hAnsi="仿宋" w:cs="宋体" w:hint="eastAsia"/>
          <w:sz w:val="24"/>
          <w:szCs w:val="24"/>
        </w:rPr>
        <w:t>（六）</w:t>
      </w:r>
      <w:r w:rsidR="00C22A41" w:rsidRPr="00F11E97">
        <w:rPr>
          <w:rFonts w:ascii="仿宋" w:eastAsia="仿宋" w:hAnsi="仿宋" w:cs="宋体"/>
          <w:sz w:val="24"/>
          <w:szCs w:val="24"/>
        </w:rPr>
        <w:t>不计提折旧的资产：本基金会用于展览、教育或研究等目的的历史文物、艺术品以及其他具有文化或者历史价值并作为长期或者永久保存的典藏等，作为文物文化资产核算，不计提折旧。</w:t>
      </w:r>
    </w:p>
    <w:p w14:paraId="643484F9" w14:textId="3D776E97"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第十五条 </w:t>
      </w:r>
      <w:r w:rsidRPr="00F11E97">
        <w:rPr>
          <w:rFonts w:ascii="仿宋" w:eastAsia="仿宋" w:hAnsi="仿宋" w:cs="宋体"/>
          <w:sz w:val="24"/>
          <w:szCs w:val="24"/>
        </w:rPr>
        <w:t>财务</w:t>
      </w:r>
      <w:r w:rsidR="00226AB6" w:rsidRPr="00F11E97">
        <w:rPr>
          <w:rFonts w:ascii="仿宋" w:eastAsia="仿宋" w:hAnsi="仿宋" w:cs="宋体" w:hint="eastAsia"/>
          <w:sz w:val="24"/>
          <w:szCs w:val="24"/>
        </w:rPr>
        <w:t>部</w:t>
      </w:r>
      <w:r w:rsidRPr="00F11E97">
        <w:rPr>
          <w:rFonts w:ascii="仿宋" w:eastAsia="仿宋" w:hAnsi="仿宋" w:cs="宋体"/>
          <w:sz w:val="24"/>
          <w:szCs w:val="24"/>
        </w:rPr>
        <w:t>配合行政</w:t>
      </w:r>
      <w:r w:rsidR="00226AB6" w:rsidRPr="00F11E97">
        <w:rPr>
          <w:rFonts w:ascii="仿宋" w:eastAsia="仿宋" w:hAnsi="仿宋" w:cs="宋体" w:hint="eastAsia"/>
          <w:sz w:val="24"/>
          <w:szCs w:val="24"/>
        </w:rPr>
        <w:t>部</w:t>
      </w:r>
      <w:r w:rsidRPr="00F11E97">
        <w:rPr>
          <w:rFonts w:ascii="仿宋" w:eastAsia="仿宋" w:hAnsi="仿宋" w:cs="宋体"/>
          <w:sz w:val="24"/>
          <w:szCs w:val="24"/>
        </w:rPr>
        <w:t>定期或不定期地对基金会的固定资产进行实地盘点，每年至少盘点一次，做到账实相符。每次盘点结束，由行政部提交统计清单并对盘盈、盘亏的固定资产查明原因，报秘书长和财务负责人批准后，财务</w:t>
      </w:r>
      <w:r w:rsidRPr="00F11E97">
        <w:rPr>
          <w:rFonts w:ascii="仿宋" w:eastAsia="仿宋" w:hAnsi="仿宋" w:cs="宋体" w:hint="eastAsia"/>
          <w:sz w:val="24"/>
          <w:szCs w:val="24"/>
        </w:rPr>
        <w:t>部</w:t>
      </w:r>
      <w:r w:rsidRPr="00F11E97">
        <w:rPr>
          <w:rFonts w:ascii="仿宋" w:eastAsia="仿宋" w:hAnsi="仿宋" w:cs="宋体"/>
          <w:sz w:val="24"/>
          <w:szCs w:val="24"/>
        </w:rPr>
        <w:t>进行相应处理。</w:t>
      </w:r>
    </w:p>
    <w:p w14:paraId="5DAA565E" w14:textId="5BB35DFF" w:rsidR="00AE3601" w:rsidRPr="00F11E97" w:rsidRDefault="00C22A41" w:rsidP="008834D2">
      <w:pPr>
        <w:tabs>
          <w:tab w:val="left" w:pos="1540"/>
        </w:tabs>
        <w:spacing w:line="360" w:lineRule="auto"/>
        <w:rPr>
          <w:rFonts w:ascii="仿宋" w:eastAsia="仿宋" w:hAnsi="仿宋"/>
          <w:sz w:val="24"/>
          <w:szCs w:val="24"/>
        </w:rPr>
      </w:pPr>
      <w:r w:rsidRPr="00F11E97">
        <w:rPr>
          <w:rFonts w:ascii="仿宋" w:eastAsia="仿宋" w:hAnsi="仿宋" w:cs="宋体"/>
          <w:b/>
          <w:bCs/>
          <w:sz w:val="24"/>
          <w:szCs w:val="24"/>
        </w:rPr>
        <w:t>第十六条</w:t>
      </w:r>
      <w:r w:rsidR="001A43CF" w:rsidRPr="00F11E97">
        <w:rPr>
          <w:rFonts w:ascii="仿宋" w:eastAsia="仿宋" w:hAnsi="仿宋"/>
          <w:sz w:val="24"/>
          <w:szCs w:val="24"/>
        </w:rPr>
        <w:t xml:space="preserve"> </w:t>
      </w:r>
      <w:r w:rsidRPr="00F11E97">
        <w:rPr>
          <w:rFonts w:ascii="仿宋" w:eastAsia="仿宋" w:hAnsi="仿宋" w:cs="宋体"/>
          <w:sz w:val="24"/>
          <w:szCs w:val="24"/>
        </w:rPr>
        <w:t>固定资产使用部门发生变化，行政组应重新办理固定资产领用手续。</w:t>
      </w:r>
    </w:p>
    <w:p w14:paraId="69271ACA" w14:textId="3DF99920"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并通知财务组。</w:t>
      </w:r>
    </w:p>
    <w:p w14:paraId="3513BFCF" w14:textId="66E70B36"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第十七条 </w:t>
      </w:r>
      <w:r w:rsidRPr="00F11E97">
        <w:rPr>
          <w:rFonts w:ascii="仿宋" w:eastAsia="仿宋" w:hAnsi="仿宋" w:cs="宋体"/>
          <w:sz w:val="24"/>
          <w:szCs w:val="24"/>
        </w:rPr>
        <w:t>基金会固定资产管理与处置坚持统一核算、分工负责、物尽其用的原则。</w:t>
      </w:r>
    </w:p>
    <w:p w14:paraId="3ED5C8B8" w14:textId="48A6098F"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第十八条 </w:t>
      </w:r>
      <w:r w:rsidRPr="00F11E97">
        <w:rPr>
          <w:rFonts w:ascii="仿宋" w:eastAsia="仿宋" w:hAnsi="仿宋" w:cs="宋体"/>
          <w:sz w:val="24"/>
          <w:szCs w:val="24"/>
        </w:rPr>
        <w:t>基金会的固定资产价值核算，严格执行《民间非营利组织会计制度》的相关规定。</w:t>
      </w:r>
    </w:p>
    <w:p w14:paraId="5A7499D9" w14:textId="24C97EDB"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第十九条 </w:t>
      </w:r>
      <w:r w:rsidRPr="00F11E97">
        <w:rPr>
          <w:rFonts w:ascii="仿宋" w:eastAsia="仿宋" w:hAnsi="仿宋" w:cs="宋体"/>
          <w:sz w:val="24"/>
          <w:szCs w:val="24"/>
        </w:rPr>
        <w:t>固定资产的购置和调入。购置和调入固定资产，必须按本基金会有关固定资产处置审批权限和程序报批，并相应做好验收工作。属于技术专用设备的还应会同有关专业技术人员共同验收。验收合格后，及时办理相应手续。</w:t>
      </w:r>
    </w:p>
    <w:p w14:paraId="7CABAA63" w14:textId="61144B1C"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lastRenderedPageBreak/>
        <w:t xml:space="preserve">第二十条 </w:t>
      </w:r>
      <w:r w:rsidRPr="00F11E97">
        <w:rPr>
          <w:rFonts w:ascii="仿宋" w:eastAsia="仿宋" w:hAnsi="仿宋" w:cs="宋体"/>
          <w:sz w:val="24"/>
          <w:szCs w:val="24"/>
        </w:rPr>
        <w:t>固定资产的调出和报废。对使用年限已久，确无修复价值或因技术发展已丧失价值以及闲置的，要按规定及时处理，调出和报废固定资产，必须按本基金会固定资产处置审批权限报批。有处置收入的由出纳人员将所收取款项及时入账并开具收据。</w:t>
      </w:r>
    </w:p>
    <w:p w14:paraId="499D908A" w14:textId="212685D5"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第二十一条 </w:t>
      </w:r>
      <w:r w:rsidRPr="00F11E97">
        <w:rPr>
          <w:rFonts w:ascii="仿宋" w:eastAsia="仿宋" w:hAnsi="仿宋" w:cs="宋体"/>
          <w:sz w:val="24"/>
          <w:szCs w:val="24"/>
        </w:rPr>
        <w:t>固定资产的盘点和清查。基金会固定资产至少每年盘点一次、作到帐实相符。盘盈的固定资产应当按照其公允价值入账，并计入当期收入；盘亏</w:t>
      </w:r>
      <w:bookmarkStart w:id="1" w:name="page4"/>
      <w:bookmarkEnd w:id="1"/>
    </w:p>
    <w:p w14:paraId="02AF2345" w14:textId="5DE90AFA"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的固定资产在减去过失人或保险公司等赔款和残料价值后计入当期费用。</w:t>
      </w:r>
    </w:p>
    <w:p w14:paraId="607BA404" w14:textId="604F4611"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第二十二条</w:t>
      </w:r>
      <w:r w:rsidR="001A43CF" w:rsidRPr="00F11E97">
        <w:rPr>
          <w:rFonts w:ascii="仿宋" w:eastAsia="仿宋" w:hAnsi="仿宋" w:cs="宋体"/>
          <w:b/>
          <w:bCs/>
          <w:sz w:val="24"/>
          <w:szCs w:val="24"/>
        </w:rPr>
        <w:t xml:space="preserve"> </w:t>
      </w:r>
      <w:r w:rsidRPr="00F11E97">
        <w:rPr>
          <w:rFonts w:ascii="仿宋" w:eastAsia="仿宋" w:hAnsi="仿宋" w:cs="宋体"/>
          <w:sz w:val="24"/>
          <w:szCs w:val="24"/>
        </w:rPr>
        <w:t>外部使用本单位的固定资产，要实行有偿使用制度，合理收取占用费、使用费。</w:t>
      </w:r>
    </w:p>
    <w:p w14:paraId="5839801C" w14:textId="1B0568FA" w:rsidR="00AE3601" w:rsidRPr="00F11E97" w:rsidRDefault="00C22A41" w:rsidP="008834D2">
      <w:pPr>
        <w:tabs>
          <w:tab w:val="left" w:pos="1900"/>
        </w:tabs>
        <w:spacing w:line="360" w:lineRule="auto"/>
        <w:rPr>
          <w:rFonts w:ascii="仿宋" w:eastAsia="仿宋" w:hAnsi="仿宋"/>
          <w:sz w:val="24"/>
          <w:szCs w:val="24"/>
        </w:rPr>
      </w:pPr>
      <w:r w:rsidRPr="00F11E97">
        <w:rPr>
          <w:rFonts w:ascii="仿宋" w:eastAsia="仿宋" w:hAnsi="仿宋" w:cs="宋体"/>
          <w:b/>
          <w:bCs/>
          <w:sz w:val="24"/>
          <w:szCs w:val="24"/>
        </w:rPr>
        <w:t>第二十三条</w:t>
      </w:r>
      <w:r w:rsidR="001A43CF" w:rsidRPr="00F11E97">
        <w:rPr>
          <w:rFonts w:ascii="仿宋" w:eastAsia="仿宋" w:hAnsi="仿宋"/>
          <w:sz w:val="24"/>
          <w:szCs w:val="24"/>
        </w:rPr>
        <w:t xml:space="preserve"> </w:t>
      </w:r>
      <w:r w:rsidRPr="00F11E97">
        <w:rPr>
          <w:rFonts w:ascii="仿宋" w:eastAsia="仿宋" w:hAnsi="仿宋" w:cs="宋体"/>
          <w:sz w:val="24"/>
          <w:szCs w:val="24"/>
        </w:rPr>
        <w:t>任何组织和个人不得侵占、挪用或任意调拨基金会的固定资产。</w:t>
      </w:r>
    </w:p>
    <w:p w14:paraId="30F48AE4" w14:textId="3D4BEB7F" w:rsidR="00AE3601" w:rsidRPr="00F11E97" w:rsidRDefault="00C22A41" w:rsidP="008834D2">
      <w:pPr>
        <w:tabs>
          <w:tab w:val="left" w:pos="1900"/>
        </w:tabs>
        <w:spacing w:line="360" w:lineRule="auto"/>
        <w:rPr>
          <w:rFonts w:ascii="仿宋" w:eastAsia="仿宋" w:hAnsi="仿宋"/>
          <w:sz w:val="24"/>
          <w:szCs w:val="24"/>
        </w:rPr>
      </w:pPr>
      <w:r w:rsidRPr="00F11E97">
        <w:rPr>
          <w:rFonts w:ascii="仿宋" w:eastAsia="仿宋" w:hAnsi="仿宋" w:cs="宋体"/>
          <w:b/>
          <w:bCs/>
          <w:sz w:val="24"/>
          <w:szCs w:val="24"/>
        </w:rPr>
        <w:t>第二十四条</w:t>
      </w:r>
      <w:r w:rsidR="001A43CF" w:rsidRPr="00F11E97">
        <w:rPr>
          <w:rFonts w:ascii="仿宋" w:eastAsia="仿宋" w:hAnsi="仿宋"/>
          <w:sz w:val="24"/>
          <w:szCs w:val="24"/>
        </w:rPr>
        <w:t xml:space="preserve"> </w:t>
      </w:r>
      <w:r w:rsidRPr="00F11E97">
        <w:rPr>
          <w:rFonts w:ascii="仿宋" w:eastAsia="仿宋" w:hAnsi="仿宋" w:cs="宋体"/>
          <w:sz w:val="24"/>
          <w:szCs w:val="24"/>
        </w:rPr>
        <w:t>固定资产管理人员变动，及时办理交接手续。</w:t>
      </w:r>
    </w:p>
    <w:p w14:paraId="63C3F62A" w14:textId="77777777" w:rsidR="00AE3601" w:rsidRPr="00F11E97" w:rsidRDefault="00AE3601" w:rsidP="008834D2">
      <w:pPr>
        <w:spacing w:line="360" w:lineRule="auto"/>
        <w:rPr>
          <w:rFonts w:ascii="仿宋" w:eastAsia="仿宋" w:hAnsi="仿宋"/>
          <w:sz w:val="24"/>
          <w:szCs w:val="24"/>
        </w:rPr>
      </w:pPr>
    </w:p>
    <w:p w14:paraId="6882228A" w14:textId="22E9FCB1" w:rsidR="00AE3601" w:rsidRPr="00F11E97" w:rsidRDefault="00C22A41" w:rsidP="00F11E97">
      <w:pPr>
        <w:tabs>
          <w:tab w:val="left" w:pos="360"/>
        </w:tabs>
        <w:spacing w:afterLines="50" w:after="120" w:line="360" w:lineRule="auto"/>
        <w:ind w:firstLineChars="200" w:firstLine="489"/>
        <w:jc w:val="center"/>
        <w:rPr>
          <w:rFonts w:ascii="仿宋" w:eastAsia="仿宋" w:hAnsi="仿宋" w:cs="宋体"/>
          <w:b/>
          <w:bCs/>
          <w:sz w:val="24"/>
          <w:szCs w:val="24"/>
        </w:rPr>
      </w:pPr>
      <w:r w:rsidRPr="00F11E97">
        <w:rPr>
          <w:rFonts w:ascii="仿宋" w:eastAsia="仿宋" w:hAnsi="仿宋" w:cs="宋体"/>
          <w:b/>
          <w:bCs/>
          <w:sz w:val="24"/>
          <w:szCs w:val="24"/>
        </w:rPr>
        <w:t>第四章 捐赠物资管理</w:t>
      </w:r>
    </w:p>
    <w:p w14:paraId="31AB92F1" w14:textId="01BD9EB6"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第二十五条  </w:t>
      </w:r>
      <w:r w:rsidRPr="00F11E97">
        <w:rPr>
          <w:rFonts w:ascii="仿宋" w:eastAsia="仿宋" w:hAnsi="仿宋" w:cs="宋体"/>
          <w:sz w:val="24"/>
          <w:szCs w:val="24"/>
        </w:rPr>
        <w:t>对捐赠物资以公允价值计入存货管理，建立出入库登记制度，按分类设置明细账、按照实际领用发放的存货转入成本费用，对存货每年定期盘点一次。</w:t>
      </w:r>
    </w:p>
    <w:p w14:paraId="5599D2D5" w14:textId="627E68E2"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第二十六条  </w:t>
      </w:r>
      <w:r w:rsidRPr="00F11E97">
        <w:rPr>
          <w:rFonts w:ascii="仿宋" w:eastAsia="仿宋" w:hAnsi="仿宋" w:cs="宋体"/>
          <w:sz w:val="24"/>
          <w:szCs w:val="24"/>
        </w:rPr>
        <w:t>基金会接受食品、药品、医疗器械等捐赠物品，应当确保物品在到达最终受益人时仍处于保质期内且具有使用价值。</w:t>
      </w:r>
    </w:p>
    <w:p w14:paraId="13D3E41B" w14:textId="268A8BDC"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第二十七条  </w:t>
      </w:r>
      <w:r w:rsidRPr="00F11E97">
        <w:rPr>
          <w:rFonts w:ascii="仿宋" w:eastAsia="仿宋" w:hAnsi="仿宋" w:cs="宋体"/>
          <w:sz w:val="24"/>
          <w:szCs w:val="24"/>
        </w:rPr>
        <w:t>基金会接受企业捐赠该企业生产的产品，应当要求企业提供产品质量认证证明或者产品合格证，以及受赠物品的品名、规格、种类、数量等相关资料。</w:t>
      </w:r>
    </w:p>
    <w:p w14:paraId="08AF2F67" w14:textId="2C2434AA"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第二十八条  </w:t>
      </w:r>
      <w:r w:rsidRPr="00F11E97">
        <w:rPr>
          <w:rFonts w:ascii="仿宋" w:eastAsia="仿宋" w:hAnsi="仿宋" w:cs="宋体"/>
          <w:sz w:val="24"/>
          <w:szCs w:val="24"/>
        </w:rPr>
        <w:t>对于指定用于救助自然灾害等突发事件的受赠财产，用于应急的应当在应急期结束前使用完毕；用于灾后重建的应当在重建期结束前使用完毕。</w:t>
      </w:r>
    </w:p>
    <w:p w14:paraId="43BA3B70" w14:textId="34E2A177"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第二十九条  </w:t>
      </w:r>
      <w:r w:rsidRPr="00F11E97">
        <w:rPr>
          <w:rFonts w:ascii="仿宋" w:eastAsia="仿宋" w:hAnsi="仿宋" w:cs="宋体"/>
          <w:sz w:val="24"/>
          <w:szCs w:val="24"/>
        </w:rPr>
        <w:t>对确因特殊原因无法使用完毕的受赠财产，基金会可在取得捐赠人同意或在公开媒体上公示后，将受赠财产用于与原公益目的相近似的目的。</w:t>
      </w:r>
    </w:p>
    <w:p w14:paraId="5A871A4B" w14:textId="77777777" w:rsidR="00AE3601" w:rsidRPr="00F11E97" w:rsidRDefault="00AE3601" w:rsidP="008834D2">
      <w:pPr>
        <w:spacing w:line="360" w:lineRule="auto"/>
        <w:rPr>
          <w:rFonts w:ascii="仿宋" w:eastAsia="仿宋" w:hAnsi="仿宋"/>
          <w:sz w:val="24"/>
          <w:szCs w:val="24"/>
        </w:rPr>
      </w:pPr>
    </w:p>
    <w:p w14:paraId="68A7B2F5" w14:textId="058FE361" w:rsidR="00AE3601" w:rsidRPr="00F11E97" w:rsidRDefault="00C22A41" w:rsidP="00F11E97">
      <w:pPr>
        <w:tabs>
          <w:tab w:val="left" w:pos="360"/>
        </w:tabs>
        <w:spacing w:afterLines="50" w:after="120" w:line="360" w:lineRule="auto"/>
        <w:ind w:firstLineChars="200" w:firstLine="489"/>
        <w:jc w:val="center"/>
        <w:rPr>
          <w:rFonts w:ascii="仿宋" w:eastAsia="仿宋" w:hAnsi="仿宋" w:cs="宋体"/>
          <w:b/>
          <w:bCs/>
          <w:sz w:val="24"/>
          <w:szCs w:val="24"/>
        </w:rPr>
      </w:pPr>
      <w:r w:rsidRPr="00F11E97">
        <w:rPr>
          <w:rFonts w:ascii="仿宋" w:eastAsia="仿宋" w:hAnsi="仿宋" w:cs="宋体"/>
          <w:b/>
          <w:bCs/>
          <w:sz w:val="24"/>
          <w:szCs w:val="24"/>
        </w:rPr>
        <w:t>第五章 资产交易</w:t>
      </w:r>
    </w:p>
    <w:p w14:paraId="24C4E70A" w14:textId="08686E25"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第三十条 </w:t>
      </w:r>
      <w:r w:rsidRPr="00F11E97">
        <w:rPr>
          <w:rFonts w:ascii="仿宋" w:eastAsia="仿宋" w:hAnsi="仿宋" w:cs="宋体"/>
          <w:sz w:val="24"/>
          <w:szCs w:val="24"/>
        </w:rPr>
        <w:t>基金会进行交换交易，应当保护自身和社会公众的合法权益。不得以低于公允价值的价格出售物资、提供服务、授权或者转让无形资产；不得以高于公允价值的价格购买产品和服务。</w:t>
      </w:r>
    </w:p>
    <w:p w14:paraId="26174E7C" w14:textId="12E8CF61"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 xml:space="preserve">第三十一条 </w:t>
      </w:r>
      <w:r w:rsidRPr="00F11E97">
        <w:rPr>
          <w:rFonts w:ascii="仿宋" w:eastAsia="仿宋" w:hAnsi="仿宋" w:cs="宋体"/>
          <w:sz w:val="24"/>
          <w:szCs w:val="24"/>
        </w:rPr>
        <w:t>基金会理事、监事及其近亲属不得与本基金会有任何资产交易行为。</w:t>
      </w:r>
    </w:p>
    <w:p w14:paraId="6CFB7F37" w14:textId="30B5461C"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第三十二条</w:t>
      </w:r>
      <w:r w:rsidR="001A43CF" w:rsidRPr="00F11E97">
        <w:rPr>
          <w:rFonts w:ascii="仿宋" w:eastAsia="仿宋" w:hAnsi="仿宋"/>
          <w:sz w:val="24"/>
          <w:szCs w:val="24"/>
        </w:rPr>
        <w:t xml:space="preserve"> </w:t>
      </w:r>
      <w:r w:rsidRPr="00F11E97">
        <w:rPr>
          <w:rFonts w:ascii="仿宋" w:eastAsia="仿宋" w:hAnsi="仿宋" w:cs="宋体"/>
          <w:sz w:val="24"/>
          <w:szCs w:val="24"/>
        </w:rPr>
        <w:t>基金会不得从事以下行为：</w:t>
      </w:r>
    </w:p>
    <w:p w14:paraId="15565B23" w14:textId="50DD4A2A"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lastRenderedPageBreak/>
        <w:t>（一）向个人、企业直接提供与公益活动无关的借款；</w:t>
      </w:r>
    </w:p>
    <w:p w14:paraId="01452931" w14:textId="5472FB68"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（二）以合作等任何名义直接宣传、促销、销售企业的产品和品牌，为企业</w:t>
      </w:r>
    </w:p>
    <w:p w14:paraId="11FAF54E" w14:textId="5A23AFED"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及其产品提供信誉或者质量担保；</w:t>
      </w:r>
    </w:p>
    <w:p w14:paraId="40D65A8C" w14:textId="26210D90"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（三）对外提供任何形式的经济担保或财产担保；</w:t>
      </w:r>
    </w:p>
    <w:p w14:paraId="0B6AB9F2" w14:textId="55BC78E0"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（四）将本基金会的组织名称、公益项目品牌等其他应当用于公益目的的无形资产用于非公益目的；</w:t>
      </w:r>
      <w:bookmarkStart w:id="2" w:name="page5"/>
      <w:bookmarkEnd w:id="2"/>
    </w:p>
    <w:p w14:paraId="0AB8D571" w14:textId="5D120775"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（五）基金会的资金投向期货、期权等衍生金融工具；</w:t>
      </w:r>
    </w:p>
    <w:p w14:paraId="25CA09CC" w14:textId="17B4EB8C"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（六）从事可能使本基金会承担无限责任的投资；</w:t>
      </w:r>
    </w:p>
    <w:p w14:paraId="7198EB93" w14:textId="12BD1DBF"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（七）从事违背本基金会使命、可能损害信誉的投资；</w:t>
      </w:r>
    </w:p>
    <w:p w14:paraId="12926077" w14:textId="77777777"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（八）国家法律法规禁止的其他投资行为。</w:t>
      </w:r>
    </w:p>
    <w:p w14:paraId="42A18069" w14:textId="77777777" w:rsidR="00AE3601" w:rsidRPr="00F11E97" w:rsidRDefault="00AE3601" w:rsidP="008834D2">
      <w:pPr>
        <w:spacing w:line="360" w:lineRule="auto"/>
        <w:rPr>
          <w:rFonts w:ascii="仿宋" w:eastAsia="仿宋" w:hAnsi="仿宋"/>
          <w:sz w:val="24"/>
          <w:szCs w:val="24"/>
        </w:rPr>
      </w:pPr>
    </w:p>
    <w:p w14:paraId="00782F8C" w14:textId="7C12A1E1" w:rsidR="00AE3601" w:rsidRPr="00F11E97" w:rsidRDefault="00C22A41" w:rsidP="00F11E97">
      <w:pPr>
        <w:tabs>
          <w:tab w:val="left" w:pos="360"/>
        </w:tabs>
        <w:spacing w:afterLines="50" w:after="120" w:line="360" w:lineRule="auto"/>
        <w:ind w:firstLineChars="200" w:firstLine="489"/>
        <w:jc w:val="center"/>
        <w:rPr>
          <w:rFonts w:ascii="仿宋" w:eastAsia="仿宋" w:hAnsi="仿宋" w:cs="宋体"/>
          <w:b/>
          <w:bCs/>
          <w:sz w:val="24"/>
          <w:szCs w:val="24"/>
        </w:rPr>
      </w:pPr>
      <w:r w:rsidRPr="00F11E97">
        <w:rPr>
          <w:rFonts w:ascii="仿宋" w:eastAsia="仿宋" w:hAnsi="仿宋" w:cs="宋体"/>
          <w:b/>
          <w:bCs/>
          <w:sz w:val="24"/>
          <w:szCs w:val="24"/>
        </w:rPr>
        <w:t>第六章 管理责任</w:t>
      </w:r>
    </w:p>
    <w:p w14:paraId="1E2BC996" w14:textId="713EE86E"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第三十三条</w:t>
      </w:r>
      <w:r w:rsidR="001A43CF" w:rsidRPr="00F11E97">
        <w:rPr>
          <w:rFonts w:ascii="仿宋" w:eastAsia="仿宋" w:hAnsi="仿宋" w:cs="宋体"/>
          <w:b/>
          <w:bCs/>
          <w:sz w:val="24"/>
          <w:szCs w:val="24"/>
        </w:rPr>
        <w:t xml:space="preserve"> </w:t>
      </w:r>
      <w:r w:rsidRPr="00F11E97">
        <w:rPr>
          <w:rFonts w:ascii="仿宋" w:eastAsia="仿宋" w:hAnsi="仿宋" w:cs="宋体"/>
          <w:sz w:val="24"/>
          <w:szCs w:val="24"/>
        </w:rPr>
        <w:t>本基金会的资产管理坚持统筹决策、各司其职相互配合、有效制衡的原则。</w:t>
      </w:r>
    </w:p>
    <w:p w14:paraId="34DB849C" w14:textId="749FDADF" w:rsidR="00AE3601" w:rsidRPr="00F11E97" w:rsidRDefault="00C22A41" w:rsidP="008834D2">
      <w:pPr>
        <w:spacing w:line="360" w:lineRule="auto"/>
        <w:jc w:val="both"/>
        <w:rPr>
          <w:rFonts w:ascii="仿宋" w:eastAsia="仿宋" w:hAnsi="仿宋"/>
          <w:sz w:val="24"/>
          <w:szCs w:val="24"/>
        </w:rPr>
      </w:pPr>
      <w:r w:rsidRPr="00F11E97">
        <w:rPr>
          <w:rFonts w:ascii="仿宋" w:eastAsia="仿宋" w:hAnsi="仿宋" w:cs="宋体"/>
          <w:b/>
          <w:bCs/>
          <w:sz w:val="24"/>
          <w:szCs w:val="24"/>
        </w:rPr>
        <w:t>第三十四条</w:t>
      </w:r>
      <w:r w:rsidR="001A43CF" w:rsidRPr="00F11E97">
        <w:rPr>
          <w:rFonts w:ascii="仿宋" w:eastAsia="仿宋" w:hAnsi="仿宋" w:cs="宋体"/>
          <w:b/>
          <w:bCs/>
          <w:sz w:val="24"/>
          <w:szCs w:val="24"/>
        </w:rPr>
        <w:t xml:space="preserve"> </w:t>
      </w:r>
      <w:r w:rsidRPr="00F11E97">
        <w:rPr>
          <w:rFonts w:ascii="仿宋" w:eastAsia="仿宋" w:hAnsi="仿宋" w:cs="宋体"/>
          <w:sz w:val="24"/>
          <w:szCs w:val="24"/>
        </w:rPr>
        <w:t>基金会投资决策与执行应当分离。建立规范的投资决策议事规则，投资计划必须经过理事会决策同意方可执行。理事会授权理事长开展投资活动的，投资方案也应当报经理事会决策同意。投资决策记录应载明投资事项、参与表决理事的意见和签名，并存入档案。执行情况应定期向理事会汇报。</w:t>
      </w:r>
    </w:p>
    <w:p w14:paraId="609AF877" w14:textId="1A4AF887" w:rsidR="00AE3601" w:rsidRPr="00F11E97" w:rsidRDefault="00C22A41" w:rsidP="008834D2">
      <w:pPr>
        <w:tabs>
          <w:tab w:val="left" w:pos="1900"/>
        </w:tabs>
        <w:spacing w:line="360" w:lineRule="auto"/>
        <w:rPr>
          <w:rFonts w:ascii="仿宋" w:eastAsia="仿宋" w:hAnsi="仿宋"/>
          <w:sz w:val="24"/>
          <w:szCs w:val="24"/>
        </w:rPr>
      </w:pPr>
      <w:r w:rsidRPr="00F11E97">
        <w:rPr>
          <w:rFonts w:ascii="仿宋" w:eastAsia="仿宋" w:hAnsi="仿宋" w:cs="宋体"/>
          <w:b/>
          <w:bCs/>
          <w:sz w:val="24"/>
          <w:szCs w:val="24"/>
        </w:rPr>
        <w:t>第三十五条</w:t>
      </w:r>
      <w:r w:rsidR="001A43CF" w:rsidRPr="00F11E97">
        <w:rPr>
          <w:rFonts w:ascii="仿宋" w:eastAsia="仿宋" w:hAnsi="仿宋"/>
          <w:sz w:val="24"/>
          <w:szCs w:val="24"/>
        </w:rPr>
        <w:t xml:space="preserve"> </w:t>
      </w:r>
      <w:r w:rsidRPr="00F11E97">
        <w:rPr>
          <w:rFonts w:ascii="仿宋" w:eastAsia="仿宋" w:hAnsi="仿宋" w:cs="宋体"/>
          <w:sz w:val="24"/>
          <w:szCs w:val="24"/>
        </w:rPr>
        <w:t>理事会对资产管理履行以下决策职责：</w:t>
      </w:r>
    </w:p>
    <w:p w14:paraId="4F162226" w14:textId="0C7327B6"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（一）制定资产管理的具体规定；</w:t>
      </w:r>
    </w:p>
    <w:p w14:paraId="7FCAD36D" w14:textId="4E2F2639"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（二）确定年度投资计划和资产处置计划；</w:t>
      </w:r>
    </w:p>
    <w:p w14:paraId="528BDE38" w14:textId="2A115F33"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（三）决定投资方案；</w:t>
      </w:r>
    </w:p>
    <w:p w14:paraId="4E60491E" w14:textId="01DA2D88"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（四）检查、监督资产管理落实工作；</w:t>
      </w:r>
    </w:p>
    <w:p w14:paraId="1801E47C" w14:textId="777DE21F"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（五）其他有关资产管理的重要事项。</w:t>
      </w:r>
    </w:p>
    <w:p w14:paraId="274240BA" w14:textId="5EB095E0" w:rsidR="00AE3601" w:rsidRPr="00F11E97" w:rsidRDefault="00C22A41" w:rsidP="008834D2">
      <w:pPr>
        <w:tabs>
          <w:tab w:val="left" w:pos="1664"/>
        </w:tabs>
        <w:spacing w:line="360" w:lineRule="auto"/>
        <w:rPr>
          <w:rFonts w:ascii="仿宋" w:eastAsia="仿宋" w:hAnsi="仿宋"/>
          <w:sz w:val="24"/>
          <w:szCs w:val="24"/>
        </w:rPr>
      </w:pPr>
      <w:r w:rsidRPr="00F11E97">
        <w:rPr>
          <w:rFonts w:ascii="仿宋" w:eastAsia="仿宋" w:hAnsi="仿宋" w:cs="宋体"/>
          <w:b/>
          <w:bCs/>
          <w:sz w:val="24"/>
          <w:szCs w:val="24"/>
        </w:rPr>
        <w:t>第三十六条</w:t>
      </w:r>
      <w:r w:rsidR="001A43CF" w:rsidRPr="00F11E97">
        <w:rPr>
          <w:rFonts w:ascii="仿宋" w:eastAsia="仿宋" w:hAnsi="仿宋"/>
          <w:sz w:val="24"/>
          <w:szCs w:val="24"/>
        </w:rPr>
        <w:t xml:space="preserve"> </w:t>
      </w:r>
      <w:r w:rsidRPr="00F11E97">
        <w:rPr>
          <w:rFonts w:ascii="仿宋" w:eastAsia="仿宋" w:hAnsi="仿宋" w:cs="宋体"/>
          <w:sz w:val="24"/>
          <w:szCs w:val="24"/>
        </w:rPr>
        <w:t>理事遇有个人利益与本基金会资产利益关联时，不得参与相关事宜的决策。</w:t>
      </w:r>
    </w:p>
    <w:p w14:paraId="753ED8DC" w14:textId="439627D4" w:rsidR="00AE3601" w:rsidRPr="00F11E97" w:rsidRDefault="00C22A41" w:rsidP="008834D2">
      <w:pPr>
        <w:tabs>
          <w:tab w:val="left" w:pos="1664"/>
        </w:tabs>
        <w:spacing w:line="360" w:lineRule="auto"/>
        <w:rPr>
          <w:rFonts w:ascii="仿宋" w:eastAsia="仿宋" w:hAnsi="仿宋"/>
          <w:sz w:val="24"/>
          <w:szCs w:val="24"/>
        </w:rPr>
      </w:pPr>
      <w:r w:rsidRPr="00F11E97">
        <w:rPr>
          <w:rFonts w:ascii="仿宋" w:eastAsia="仿宋" w:hAnsi="仿宋" w:cs="宋体"/>
          <w:b/>
          <w:bCs/>
          <w:sz w:val="24"/>
          <w:szCs w:val="24"/>
        </w:rPr>
        <w:t>第三十七条</w:t>
      </w:r>
      <w:r w:rsidR="001A43CF" w:rsidRPr="00F11E97">
        <w:rPr>
          <w:rFonts w:ascii="仿宋" w:eastAsia="仿宋" w:hAnsi="仿宋"/>
          <w:sz w:val="24"/>
          <w:szCs w:val="24"/>
        </w:rPr>
        <w:t xml:space="preserve"> </w:t>
      </w:r>
      <w:r w:rsidRPr="00F11E97">
        <w:rPr>
          <w:rFonts w:ascii="仿宋" w:eastAsia="仿宋" w:hAnsi="仿宋" w:cs="宋体"/>
          <w:sz w:val="24"/>
          <w:szCs w:val="24"/>
        </w:rPr>
        <w:t>本制度规定由理事会审批的事项，履行基金会章程规定的决策程序。</w:t>
      </w:r>
    </w:p>
    <w:p w14:paraId="4DC25AB7" w14:textId="35912EA1"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第三十八条</w:t>
      </w:r>
      <w:r w:rsidRPr="00F11E97">
        <w:rPr>
          <w:rFonts w:ascii="仿宋" w:eastAsia="仿宋" w:hAnsi="仿宋"/>
          <w:sz w:val="24"/>
          <w:szCs w:val="24"/>
        </w:rPr>
        <w:t xml:space="preserve"> </w:t>
      </w:r>
      <w:r w:rsidRPr="00F11E97">
        <w:rPr>
          <w:rFonts w:ascii="仿宋" w:eastAsia="仿宋" w:hAnsi="仿宋" w:cs="宋体"/>
          <w:sz w:val="24"/>
          <w:szCs w:val="24"/>
        </w:rPr>
        <w:t>秘书处办公室是本基金会资产的具体管理部门,履行以下管理职责：</w:t>
      </w:r>
    </w:p>
    <w:p w14:paraId="24D58031" w14:textId="62A2141C"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（一）执行理事会制定的投资战略、具体规定及其他有关决议；</w:t>
      </w:r>
    </w:p>
    <w:p w14:paraId="7BC8D369" w14:textId="7EEA52DB"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lastRenderedPageBreak/>
        <w:t>（二）执行年度投资计划和资产处置计划，负责相关投资管理和资产处置落实工作；</w:t>
      </w:r>
    </w:p>
    <w:p w14:paraId="19A501FB" w14:textId="7E798FD8"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（三）负责对投资资产的监督管理和固定资产的日常管理；</w:t>
      </w:r>
    </w:p>
    <w:p w14:paraId="2A3B7FAD" w14:textId="18904E14"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（四）会同财务部门做好非现金资产盘点、登记和管理工作，做到账实相符、账表相符；</w:t>
      </w:r>
    </w:p>
    <w:p w14:paraId="0EA2478E" w14:textId="73100B70"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（五）完成理事会授权和交办的其他资产管理工作。</w:t>
      </w:r>
    </w:p>
    <w:p w14:paraId="4AF7B20D" w14:textId="1FDCB8D8" w:rsidR="00AE3601" w:rsidRPr="00F11E97" w:rsidRDefault="00C22A41" w:rsidP="008834D2">
      <w:pPr>
        <w:tabs>
          <w:tab w:val="left" w:pos="1900"/>
        </w:tabs>
        <w:spacing w:line="360" w:lineRule="auto"/>
        <w:rPr>
          <w:rFonts w:ascii="仿宋" w:eastAsia="仿宋" w:hAnsi="仿宋"/>
          <w:sz w:val="24"/>
          <w:szCs w:val="24"/>
        </w:rPr>
      </w:pPr>
      <w:r w:rsidRPr="00F11E97">
        <w:rPr>
          <w:rFonts w:ascii="仿宋" w:eastAsia="仿宋" w:hAnsi="仿宋" w:cs="宋体"/>
          <w:b/>
          <w:bCs/>
          <w:sz w:val="24"/>
          <w:szCs w:val="24"/>
        </w:rPr>
        <w:t>第三十九条</w:t>
      </w:r>
      <w:r w:rsidR="001A43CF" w:rsidRPr="00F11E97">
        <w:rPr>
          <w:rFonts w:ascii="仿宋" w:eastAsia="仿宋" w:hAnsi="仿宋"/>
          <w:sz w:val="24"/>
          <w:szCs w:val="24"/>
        </w:rPr>
        <w:t xml:space="preserve"> </w:t>
      </w:r>
      <w:r w:rsidRPr="00F11E97">
        <w:rPr>
          <w:rFonts w:ascii="仿宋" w:eastAsia="仿宋" w:hAnsi="仿宋" w:cs="宋体"/>
          <w:sz w:val="24"/>
          <w:szCs w:val="24"/>
        </w:rPr>
        <w:t>基金会财务部门在理事会领导下，履行基金会资产财会管理职责；</w:t>
      </w:r>
      <w:bookmarkStart w:id="3" w:name="page6"/>
      <w:bookmarkEnd w:id="3"/>
    </w:p>
    <w:p w14:paraId="2861FE7F" w14:textId="58ABB605"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（一）负责资产的财务管理和会计核算；</w:t>
      </w:r>
    </w:p>
    <w:p w14:paraId="40B1D2D9" w14:textId="4E72D121"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（二）建立健全资产内部会计控制与财务监督制度，依法依规编制资产管理财务报表，保证会计资料合法、真实、准确、完整；</w:t>
      </w:r>
    </w:p>
    <w:p w14:paraId="7515E47E" w14:textId="25CDCDBC"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（三）参与固定资产的清查盘点；</w:t>
      </w:r>
    </w:p>
    <w:p w14:paraId="65B0E985" w14:textId="635A6A9B"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（四）依法进行审计；</w:t>
      </w:r>
    </w:p>
    <w:p w14:paraId="20E4AEB2" w14:textId="1EB896D3"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（五）依法履行财务信息披露义务；</w:t>
      </w:r>
    </w:p>
    <w:p w14:paraId="4A71D6F3" w14:textId="2A7EE050"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（六）完成理事会授权和交办的其他工作。</w:t>
      </w:r>
    </w:p>
    <w:p w14:paraId="68DC3B06" w14:textId="471E1821"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b/>
          <w:bCs/>
          <w:sz w:val="24"/>
          <w:szCs w:val="24"/>
        </w:rPr>
        <w:t xml:space="preserve">第四十条 </w:t>
      </w:r>
      <w:r w:rsidRPr="00F11E97">
        <w:rPr>
          <w:rFonts w:ascii="仿宋" w:eastAsia="仿宋" w:hAnsi="仿宋" w:cs="宋体"/>
          <w:sz w:val="24"/>
          <w:szCs w:val="24"/>
        </w:rPr>
        <w:t>基金会人员发生以下行为，视情节轻重对有关责任人给予相应处理；造成资产损失的，应当承担相应赔偿责任；涉嫌犯罪的，移交司法机关处理：</w:t>
      </w:r>
    </w:p>
    <w:p w14:paraId="6BC63BD2" w14:textId="1CD7C00B"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（一）理事会违反《基金会管理条例》和章程规定决策不当，致使基金会遭受财产损失；</w:t>
      </w:r>
    </w:p>
    <w:p w14:paraId="10170C49" w14:textId="1BEF3858"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（二）未经规定程序审批，擅自投资或处置资产；</w:t>
      </w:r>
    </w:p>
    <w:p w14:paraId="11B5AB5E" w14:textId="43515359"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（三）玩忽职守造成资产损失；</w:t>
      </w:r>
    </w:p>
    <w:p w14:paraId="0C35D5AB" w14:textId="747AB639"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（四）营私舞弊，以基金会资产为自己或他人谋取私利；</w:t>
      </w:r>
    </w:p>
    <w:p w14:paraId="67AAD178" w14:textId="22ADB0A1"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（五）私分、侵占、挪用基金会资产；</w:t>
      </w:r>
    </w:p>
    <w:p w14:paraId="1F32DA73" w14:textId="77777777" w:rsidR="00AE3601" w:rsidRPr="00F11E97" w:rsidRDefault="00C22A41" w:rsidP="008834D2">
      <w:pPr>
        <w:spacing w:line="360" w:lineRule="auto"/>
        <w:rPr>
          <w:rFonts w:ascii="仿宋" w:eastAsia="仿宋" w:hAnsi="仿宋"/>
          <w:sz w:val="24"/>
          <w:szCs w:val="24"/>
        </w:rPr>
      </w:pPr>
      <w:r w:rsidRPr="00F11E97">
        <w:rPr>
          <w:rFonts w:ascii="仿宋" w:eastAsia="仿宋" w:hAnsi="仿宋" w:cs="宋体"/>
          <w:sz w:val="24"/>
          <w:szCs w:val="24"/>
        </w:rPr>
        <w:t>（六）其他违反制度规定，造成资产损失或损害本基金会信誉的行为。</w:t>
      </w:r>
    </w:p>
    <w:p w14:paraId="7CF33482" w14:textId="77777777" w:rsidR="00AE3601" w:rsidRPr="00F11E97" w:rsidRDefault="00AE3601" w:rsidP="008834D2">
      <w:pPr>
        <w:spacing w:line="360" w:lineRule="auto"/>
        <w:rPr>
          <w:rFonts w:ascii="仿宋" w:eastAsia="仿宋" w:hAnsi="仿宋"/>
          <w:sz w:val="24"/>
          <w:szCs w:val="24"/>
        </w:rPr>
      </w:pPr>
    </w:p>
    <w:p w14:paraId="7D1A0DD9" w14:textId="71D923EE" w:rsidR="00AE3601" w:rsidRPr="00F11E97" w:rsidRDefault="00C22A41" w:rsidP="00F11E97">
      <w:pPr>
        <w:tabs>
          <w:tab w:val="left" w:pos="360"/>
        </w:tabs>
        <w:spacing w:afterLines="50" w:after="120" w:line="360" w:lineRule="auto"/>
        <w:ind w:firstLineChars="200" w:firstLine="489"/>
        <w:jc w:val="center"/>
        <w:rPr>
          <w:rFonts w:ascii="仿宋" w:eastAsia="仿宋" w:hAnsi="仿宋" w:cs="宋体"/>
          <w:b/>
          <w:bCs/>
          <w:sz w:val="24"/>
          <w:szCs w:val="24"/>
        </w:rPr>
      </w:pPr>
      <w:r w:rsidRPr="00F11E97">
        <w:rPr>
          <w:rFonts w:ascii="仿宋" w:eastAsia="仿宋" w:hAnsi="仿宋" w:cs="宋体"/>
          <w:b/>
          <w:bCs/>
          <w:sz w:val="24"/>
          <w:szCs w:val="24"/>
        </w:rPr>
        <w:t>第七章</w:t>
      </w:r>
      <w:r w:rsidR="001A43CF" w:rsidRPr="00F11E97">
        <w:rPr>
          <w:rFonts w:ascii="仿宋" w:eastAsia="仿宋" w:hAnsi="仿宋" w:cs="宋体"/>
          <w:b/>
          <w:bCs/>
          <w:sz w:val="24"/>
          <w:szCs w:val="24"/>
        </w:rPr>
        <w:t xml:space="preserve"> </w:t>
      </w:r>
      <w:r w:rsidRPr="00F11E97">
        <w:rPr>
          <w:rFonts w:ascii="仿宋" w:eastAsia="仿宋" w:hAnsi="仿宋" w:cs="宋体"/>
          <w:b/>
          <w:bCs/>
          <w:sz w:val="24"/>
          <w:szCs w:val="24"/>
        </w:rPr>
        <w:t>附 则</w:t>
      </w:r>
    </w:p>
    <w:p w14:paraId="6400F569" w14:textId="747B9352" w:rsidR="00AE3601" w:rsidRPr="00F11E97" w:rsidRDefault="00C22A41" w:rsidP="00422259">
      <w:pPr>
        <w:tabs>
          <w:tab w:val="left" w:pos="1900"/>
        </w:tabs>
        <w:spacing w:line="360" w:lineRule="auto"/>
        <w:rPr>
          <w:rFonts w:ascii="仿宋" w:eastAsia="仿宋" w:hAnsi="仿宋"/>
          <w:sz w:val="24"/>
          <w:szCs w:val="24"/>
        </w:rPr>
      </w:pPr>
      <w:r w:rsidRPr="00F11E97">
        <w:rPr>
          <w:rFonts w:ascii="仿宋" w:eastAsia="仿宋" w:hAnsi="仿宋" w:cs="宋体"/>
          <w:b/>
          <w:bCs/>
          <w:sz w:val="24"/>
          <w:szCs w:val="24"/>
        </w:rPr>
        <w:t>第四十</w:t>
      </w:r>
      <w:r w:rsidR="00035A52" w:rsidRPr="00F11E97">
        <w:rPr>
          <w:rFonts w:ascii="仿宋" w:eastAsia="仿宋" w:hAnsi="仿宋" w:cs="宋体" w:hint="eastAsia"/>
          <w:b/>
          <w:bCs/>
          <w:sz w:val="24"/>
          <w:szCs w:val="24"/>
        </w:rPr>
        <w:t>一</w:t>
      </w:r>
      <w:r w:rsidRPr="00F11E97">
        <w:rPr>
          <w:rFonts w:ascii="仿宋" w:eastAsia="仿宋" w:hAnsi="仿宋" w:cs="宋体"/>
          <w:b/>
          <w:bCs/>
          <w:sz w:val="24"/>
          <w:szCs w:val="24"/>
        </w:rPr>
        <w:t>条</w:t>
      </w:r>
      <w:r w:rsidR="001A43CF" w:rsidRPr="00F11E97">
        <w:rPr>
          <w:rFonts w:ascii="仿宋" w:eastAsia="仿宋" w:hAnsi="仿宋"/>
          <w:sz w:val="24"/>
          <w:szCs w:val="24"/>
        </w:rPr>
        <w:t xml:space="preserve"> </w:t>
      </w:r>
      <w:r w:rsidRPr="00F11E97">
        <w:rPr>
          <w:rFonts w:ascii="仿宋" w:eastAsia="仿宋" w:hAnsi="仿宋" w:cs="宋体"/>
          <w:sz w:val="24"/>
          <w:szCs w:val="24"/>
        </w:rPr>
        <w:t>本制度未尽事宜或与有关规定不一致的，按有关规定执行。</w:t>
      </w:r>
    </w:p>
    <w:p w14:paraId="3C111CA5" w14:textId="3E30036F" w:rsidR="00AE3601" w:rsidRPr="00F11E97" w:rsidRDefault="00C22A41" w:rsidP="00422259">
      <w:pPr>
        <w:tabs>
          <w:tab w:val="left" w:pos="1900"/>
        </w:tabs>
        <w:spacing w:line="360" w:lineRule="auto"/>
        <w:rPr>
          <w:rFonts w:ascii="仿宋" w:eastAsia="仿宋" w:hAnsi="仿宋"/>
          <w:sz w:val="24"/>
          <w:szCs w:val="24"/>
        </w:rPr>
      </w:pPr>
      <w:r w:rsidRPr="00F11E97">
        <w:rPr>
          <w:rFonts w:ascii="仿宋" w:eastAsia="仿宋" w:hAnsi="仿宋" w:cs="宋体"/>
          <w:b/>
          <w:bCs/>
          <w:sz w:val="24"/>
          <w:szCs w:val="24"/>
        </w:rPr>
        <w:t>第四十</w:t>
      </w:r>
      <w:r w:rsidR="00035A52" w:rsidRPr="00F11E97">
        <w:rPr>
          <w:rFonts w:ascii="仿宋" w:eastAsia="仿宋" w:hAnsi="仿宋" w:cs="宋体" w:hint="eastAsia"/>
          <w:b/>
          <w:bCs/>
          <w:sz w:val="24"/>
          <w:szCs w:val="24"/>
        </w:rPr>
        <w:t>二</w:t>
      </w:r>
      <w:r w:rsidRPr="00F11E97">
        <w:rPr>
          <w:rFonts w:ascii="仿宋" w:eastAsia="仿宋" w:hAnsi="仿宋" w:cs="宋体"/>
          <w:b/>
          <w:bCs/>
          <w:sz w:val="24"/>
          <w:szCs w:val="24"/>
        </w:rPr>
        <w:t>条</w:t>
      </w:r>
      <w:r w:rsidR="001A43CF" w:rsidRPr="00F11E97">
        <w:rPr>
          <w:rFonts w:ascii="仿宋" w:eastAsia="仿宋" w:hAnsi="仿宋"/>
          <w:sz w:val="24"/>
          <w:szCs w:val="24"/>
        </w:rPr>
        <w:t xml:space="preserve"> </w:t>
      </w:r>
      <w:r w:rsidRPr="00F11E97">
        <w:rPr>
          <w:rFonts w:ascii="仿宋" w:eastAsia="仿宋" w:hAnsi="仿宋" w:cs="宋体"/>
          <w:sz w:val="24"/>
          <w:szCs w:val="24"/>
        </w:rPr>
        <w:t>本制度的解释权归</w:t>
      </w:r>
      <w:r w:rsidR="001D3F63">
        <w:rPr>
          <w:rFonts w:ascii="仿宋" w:eastAsia="仿宋" w:hAnsi="仿宋" w:cs="宋体" w:hint="eastAsia"/>
          <w:sz w:val="24"/>
          <w:szCs w:val="24"/>
        </w:rPr>
        <w:t>北京中和公益基金会</w:t>
      </w:r>
      <w:r w:rsidR="0068517E">
        <w:rPr>
          <w:rFonts w:ascii="仿宋" w:eastAsia="仿宋" w:hAnsi="仿宋" w:cs="宋体" w:hint="eastAsia"/>
          <w:sz w:val="24"/>
          <w:szCs w:val="24"/>
        </w:rPr>
        <w:t>理事会授权财务部</w:t>
      </w:r>
      <w:r w:rsidRPr="00F11E97">
        <w:rPr>
          <w:rFonts w:ascii="仿宋" w:eastAsia="仿宋" w:hAnsi="仿宋" w:cs="宋体"/>
          <w:sz w:val="24"/>
          <w:szCs w:val="24"/>
        </w:rPr>
        <w:t>。</w:t>
      </w:r>
    </w:p>
    <w:p w14:paraId="7784B297" w14:textId="349E003E" w:rsidR="00AE3601" w:rsidRPr="00F11E97" w:rsidRDefault="00C22A41" w:rsidP="008834D2">
      <w:pPr>
        <w:tabs>
          <w:tab w:val="left" w:pos="1900"/>
        </w:tabs>
        <w:spacing w:line="360" w:lineRule="auto"/>
        <w:rPr>
          <w:rFonts w:ascii="仿宋" w:eastAsia="仿宋" w:hAnsi="仿宋"/>
          <w:sz w:val="24"/>
          <w:szCs w:val="24"/>
        </w:rPr>
      </w:pPr>
      <w:r w:rsidRPr="00F11E97">
        <w:rPr>
          <w:rFonts w:ascii="仿宋" w:eastAsia="仿宋" w:hAnsi="仿宋" w:cs="宋体"/>
          <w:b/>
          <w:bCs/>
          <w:sz w:val="24"/>
          <w:szCs w:val="24"/>
        </w:rPr>
        <w:t>第四十</w:t>
      </w:r>
      <w:r w:rsidR="00035A52" w:rsidRPr="00F11E97">
        <w:rPr>
          <w:rFonts w:ascii="仿宋" w:eastAsia="仿宋" w:hAnsi="仿宋" w:cs="宋体" w:hint="eastAsia"/>
          <w:b/>
          <w:bCs/>
          <w:sz w:val="24"/>
          <w:szCs w:val="24"/>
        </w:rPr>
        <w:t>三</w:t>
      </w:r>
      <w:r w:rsidRPr="00F11E97">
        <w:rPr>
          <w:rFonts w:ascii="仿宋" w:eastAsia="仿宋" w:hAnsi="仿宋" w:cs="宋体"/>
          <w:b/>
          <w:bCs/>
          <w:sz w:val="24"/>
          <w:szCs w:val="24"/>
        </w:rPr>
        <w:t>条</w:t>
      </w:r>
      <w:r w:rsidR="001A43CF" w:rsidRPr="00F11E97">
        <w:rPr>
          <w:rFonts w:ascii="仿宋" w:eastAsia="仿宋" w:hAnsi="仿宋"/>
          <w:sz w:val="24"/>
          <w:szCs w:val="24"/>
        </w:rPr>
        <w:t xml:space="preserve"> </w:t>
      </w:r>
      <w:r w:rsidR="005E01DE" w:rsidRPr="005E01DE">
        <w:rPr>
          <w:rFonts w:ascii="仿宋" w:eastAsia="仿宋" w:hAnsi="仿宋" w:cs="宋体" w:hint="eastAsia"/>
          <w:sz w:val="24"/>
          <w:szCs w:val="24"/>
        </w:rPr>
        <w:t>本制度经2024年9月3日基金会第二届理事会第3会议审议通过，自2024年9月5日起施行。</w:t>
      </w:r>
    </w:p>
    <w:sectPr w:rsidR="00AE3601" w:rsidRPr="00F11E97" w:rsidSect="007C7908">
      <w:footerReference w:type="even" r:id="rId7"/>
      <w:footerReference w:type="default" r:id="rId8"/>
      <w:pgSz w:w="11900" w:h="16840"/>
      <w:pgMar w:top="1440" w:right="1127" w:bottom="1440" w:left="1440" w:header="0" w:footer="881" w:gutter="0"/>
      <w:cols w:space="720"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569D" w14:textId="77777777" w:rsidR="009A55D7" w:rsidRDefault="009A55D7" w:rsidP="00C1333C">
      <w:r>
        <w:separator/>
      </w:r>
    </w:p>
  </w:endnote>
  <w:endnote w:type="continuationSeparator" w:id="0">
    <w:p w14:paraId="6578A3E0" w14:textId="77777777" w:rsidR="009A55D7" w:rsidRDefault="009A55D7" w:rsidP="00C1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787504119"/>
      <w:docPartObj>
        <w:docPartGallery w:val="Page Numbers (Bottom of Page)"/>
        <w:docPartUnique/>
      </w:docPartObj>
    </w:sdtPr>
    <w:sdtContent>
      <w:p w14:paraId="5DB38DCD" w14:textId="4A34D97D" w:rsidR="00C1333C" w:rsidRDefault="00C1333C" w:rsidP="009405F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61BA44D" w14:textId="77777777" w:rsidR="00C1333C" w:rsidRDefault="00C133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896211098"/>
      <w:docPartObj>
        <w:docPartGallery w:val="Page Numbers (Bottom of Page)"/>
        <w:docPartUnique/>
      </w:docPartObj>
    </w:sdtPr>
    <w:sdtContent>
      <w:p w14:paraId="2F5E5C16" w14:textId="79871547" w:rsidR="00C1333C" w:rsidRDefault="00C1333C" w:rsidP="009405F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3FD84B60" w14:textId="77777777" w:rsidR="00C1333C" w:rsidRDefault="00C133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A11C" w14:textId="77777777" w:rsidR="009A55D7" w:rsidRDefault="009A55D7" w:rsidP="00C1333C">
      <w:r>
        <w:separator/>
      </w:r>
    </w:p>
  </w:footnote>
  <w:footnote w:type="continuationSeparator" w:id="0">
    <w:p w14:paraId="02B7BD26" w14:textId="77777777" w:rsidR="009A55D7" w:rsidRDefault="009A55D7" w:rsidP="00C1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99"/>
    <w:multiLevelType w:val="hybridMultilevel"/>
    <w:tmpl w:val="5E4AD0A0"/>
    <w:lvl w:ilvl="0" w:tplc="17B60FFC">
      <w:start w:val="1"/>
      <w:numFmt w:val="bullet"/>
      <w:lvlText w:val="(七)"/>
      <w:lvlJc w:val="left"/>
    </w:lvl>
    <w:lvl w:ilvl="1" w:tplc="9DC4EEEC">
      <w:numFmt w:val="decimal"/>
      <w:lvlText w:val=""/>
      <w:lvlJc w:val="left"/>
    </w:lvl>
    <w:lvl w:ilvl="2" w:tplc="672CA012">
      <w:numFmt w:val="decimal"/>
      <w:lvlText w:val=""/>
      <w:lvlJc w:val="left"/>
    </w:lvl>
    <w:lvl w:ilvl="3" w:tplc="6EB2386A">
      <w:numFmt w:val="decimal"/>
      <w:lvlText w:val=""/>
      <w:lvlJc w:val="left"/>
    </w:lvl>
    <w:lvl w:ilvl="4" w:tplc="9002363C">
      <w:numFmt w:val="decimal"/>
      <w:lvlText w:val=""/>
      <w:lvlJc w:val="left"/>
    </w:lvl>
    <w:lvl w:ilvl="5" w:tplc="1CCE832A">
      <w:numFmt w:val="decimal"/>
      <w:lvlText w:val=""/>
      <w:lvlJc w:val="left"/>
    </w:lvl>
    <w:lvl w:ilvl="6" w:tplc="84229CAC">
      <w:numFmt w:val="decimal"/>
      <w:lvlText w:val=""/>
      <w:lvlJc w:val="left"/>
    </w:lvl>
    <w:lvl w:ilvl="7" w:tplc="10608E1C">
      <w:numFmt w:val="decimal"/>
      <w:lvlText w:val=""/>
      <w:lvlJc w:val="left"/>
    </w:lvl>
    <w:lvl w:ilvl="8" w:tplc="758AB3CC">
      <w:numFmt w:val="decimal"/>
      <w:lvlText w:val=""/>
      <w:lvlJc w:val="left"/>
    </w:lvl>
  </w:abstractNum>
  <w:abstractNum w:abstractNumId="1" w15:restartNumberingAfterBreak="0">
    <w:nsid w:val="00000124"/>
    <w:multiLevelType w:val="hybridMultilevel"/>
    <w:tmpl w:val="296EBB74"/>
    <w:lvl w:ilvl="0" w:tplc="DD907224">
      <w:start w:val="1"/>
      <w:numFmt w:val="decimal"/>
      <w:lvlText w:val="%1."/>
      <w:lvlJc w:val="left"/>
    </w:lvl>
    <w:lvl w:ilvl="1" w:tplc="45368380">
      <w:numFmt w:val="decimal"/>
      <w:lvlText w:val=""/>
      <w:lvlJc w:val="left"/>
    </w:lvl>
    <w:lvl w:ilvl="2" w:tplc="4A72788E">
      <w:numFmt w:val="decimal"/>
      <w:lvlText w:val=""/>
      <w:lvlJc w:val="left"/>
    </w:lvl>
    <w:lvl w:ilvl="3" w:tplc="8364097C">
      <w:numFmt w:val="decimal"/>
      <w:lvlText w:val=""/>
      <w:lvlJc w:val="left"/>
    </w:lvl>
    <w:lvl w:ilvl="4" w:tplc="495A5F56">
      <w:numFmt w:val="decimal"/>
      <w:lvlText w:val=""/>
      <w:lvlJc w:val="left"/>
    </w:lvl>
    <w:lvl w:ilvl="5" w:tplc="D4C655BC">
      <w:numFmt w:val="decimal"/>
      <w:lvlText w:val=""/>
      <w:lvlJc w:val="left"/>
    </w:lvl>
    <w:lvl w:ilvl="6" w:tplc="7BD89EA0">
      <w:numFmt w:val="decimal"/>
      <w:lvlText w:val=""/>
      <w:lvlJc w:val="left"/>
    </w:lvl>
    <w:lvl w:ilvl="7" w:tplc="092C33D2">
      <w:numFmt w:val="decimal"/>
      <w:lvlText w:val=""/>
      <w:lvlJc w:val="left"/>
    </w:lvl>
    <w:lvl w:ilvl="8" w:tplc="4CF83892">
      <w:numFmt w:val="decimal"/>
      <w:lvlText w:val=""/>
      <w:lvlJc w:val="left"/>
    </w:lvl>
  </w:abstractNum>
  <w:abstractNum w:abstractNumId="2" w15:restartNumberingAfterBreak="0">
    <w:nsid w:val="00000F3E"/>
    <w:multiLevelType w:val="hybridMultilevel"/>
    <w:tmpl w:val="ECE4712A"/>
    <w:lvl w:ilvl="0" w:tplc="C1464662">
      <w:start w:val="1"/>
      <w:numFmt w:val="bullet"/>
      <w:lvlText w:val="(六)"/>
      <w:lvlJc w:val="left"/>
    </w:lvl>
    <w:lvl w:ilvl="1" w:tplc="98C2E3EC">
      <w:numFmt w:val="decimal"/>
      <w:lvlText w:val=""/>
      <w:lvlJc w:val="left"/>
    </w:lvl>
    <w:lvl w:ilvl="2" w:tplc="6EFA012E">
      <w:numFmt w:val="decimal"/>
      <w:lvlText w:val=""/>
      <w:lvlJc w:val="left"/>
    </w:lvl>
    <w:lvl w:ilvl="3" w:tplc="992A6178">
      <w:numFmt w:val="decimal"/>
      <w:lvlText w:val=""/>
      <w:lvlJc w:val="left"/>
    </w:lvl>
    <w:lvl w:ilvl="4" w:tplc="96E8C7B4">
      <w:numFmt w:val="decimal"/>
      <w:lvlText w:val=""/>
      <w:lvlJc w:val="left"/>
    </w:lvl>
    <w:lvl w:ilvl="5" w:tplc="F792636A">
      <w:numFmt w:val="decimal"/>
      <w:lvlText w:val=""/>
      <w:lvlJc w:val="left"/>
    </w:lvl>
    <w:lvl w:ilvl="6" w:tplc="2F0C5A54">
      <w:numFmt w:val="decimal"/>
      <w:lvlText w:val=""/>
      <w:lvlJc w:val="left"/>
    </w:lvl>
    <w:lvl w:ilvl="7" w:tplc="B120BE2E">
      <w:numFmt w:val="decimal"/>
      <w:lvlText w:val=""/>
      <w:lvlJc w:val="left"/>
    </w:lvl>
    <w:lvl w:ilvl="8" w:tplc="843A110C">
      <w:numFmt w:val="decimal"/>
      <w:lvlText w:val=""/>
      <w:lvlJc w:val="left"/>
    </w:lvl>
  </w:abstractNum>
  <w:abstractNum w:abstractNumId="3" w15:restartNumberingAfterBreak="0">
    <w:nsid w:val="000012DB"/>
    <w:multiLevelType w:val="hybridMultilevel"/>
    <w:tmpl w:val="381624D2"/>
    <w:lvl w:ilvl="0" w:tplc="0ACC8434">
      <w:start w:val="1"/>
      <w:numFmt w:val="bullet"/>
      <w:lvlText w:val="(二)"/>
      <w:lvlJc w:val="left"/>
    </w:lvl>
    <w:lvl w:ilvl="1" w:tplc="2536DCC4">
      <w:numFmt w:val="decimal"/>
      <w:lvlText w:val=""/>
      <w:lvlJc w:val="left"/>
    </w:lvl>
    <w:lvl w:ilvl="2" w:tplc="CB9E29C2">
      <w:numFmt w:val="decimal"/>
      <w:lvlText w:val=""/>
      <w:lvlJc w:val="left"/>
    </w:lvl>
    <w:lvl w:ilvl="3" w:tplc="561AA9A8">
      <w:numFmt w:val="decimal"/>
      <w:lvlText w:val=""/>
      <w:lvlJc w:val="left"/>
    </w:lvl>
    <w:lvl w:ilvl="4" w:tplc="240AEB70">
      <w:numFmt w:val="decimal"/>
      <w:lvlText w:val=""/>
      <w:lvlJc w:val="left"/>
    </w:lvl>
    <w:lvl w:ilvl="5" w:tplc="B3C4D4AE">
      <w:numFmt w:val="decimal"/>
      <w:lvlText w:val=""/>
      <w:lvlJc w:val="left"/>
    </w:lvl>
    <w:lvl w:ilvl="6" w:tplc="B81454A0">
      <w:numFmt w:val="decimal"/>
      <w:lvlText w:val=""/>
      <w:lvlJc w:val="left"/>
    </w:lvl>
    <w:lvl w:ilvl="7" w:tplc="E89A2260">
      <w:numFmt w:val="decimal"/>
      <w:lvlText w:val=""/>
      <w:lvlJc w:val="left"/>
    </w:lvl>
    <w:lvl w:ilvl="8" w:tplc="FFE6B33A">
      <w:numFmt w:val="decimal"/>
      <w:lvlText w:val=""/>
      <w:lvlJc w:val="left"/>
    </w:lvl>
  </w:abstractNum>
  <w:abstractNum w:abstractNumId="4" w15:restartNumberingAfterBreak="0">
    <w:nsid w:val="0000153C"/>
    <w:multiLevelType w:val="hybridMultilevel"/>
    <w:tmpl w:val="427E5B6A"/>
    <w:lvl w:ilvl="0" w:tplc="8AA695B0">
      <w:start w:val="1"/>
      <w:numFmt w:val="bullet"/>
      <w:lvlText w:val="(三)"/>
      <w:lvlJc w:val="left"/>
    </w:lvl>
    <w:lvl w:ilvl="1" w:tplc="F614EE52">
      <w:numFmt w:val="decimal"/>
      <w:lvlText w:val=""/>
      <w:lvlJc w:val="left"/>
    </w:lvl>
    <w:lvl w:ilvl="2" w:tplc="436AB906">
      <w:numFmt w:val="decimal"/>
      <w:lvlText w:val=""/>
      <w:lvlJc w:val="left"/>
    </w:lvl>
    <w:lvl w:ilvl="3" w:tplc="9718127C">
      <w:numFmt w:val="decimal"/>
      <w:lvlText w:val=""/>
      <w:lvlJc w:val="left"/>
    </w:lvl>
    <w:lvl w:ilvl="4" w:tplc="995CEE34">
      <w:numFmt w:val="decimal"/>
      <w:lvlText w:val=""/>
      <w:lvlJc w:val="left"/>
    </w:lvl>
    <w:lvl w:ilvl="5" w:tplc="017C654C">
      <w:numFmt w:val="decimal"/>
      <w:lvlText w:val=""/>
      <w:lvlJc w:val="left"/>
    </w:lvl>
    <w:lvl w:ilvl="6" w:tplc="A276FA4E">
      <w:numFmt w:val="decimal"/>
      <w:lvlText w:val=""/>
      <w:lvlJc w:val="left"/>
    </w:lvl>
    <w:lvl w:ilvl="7" w:tplc="0A6AD90E">
      <w:numFmt w:val="decimal"/>
      <w:lvlText w:val=""/>
      <w:lvlJc w:val="left"/>
    </w:lvl>
    <w:lvl w:ilvl="8" w:tplc="92322C4E">
      <w:numFmt w:val="decimal"/>
      <w:lvlText w:val=""/>
      <w:lvlJc w:val="left"/>
    </w:lvl>
  </w:abstractNum>
  <w:abstractNum w:abstractNumId="5" w15:restartNumberingAfterBreak="0">
    <w:nsid w:val="00002EA6"/>
    <w:multiLevelType w:val="hybridMultilevel"/>
    <w:tmpl w:val="DCDA59C0"/>
    <w:lvl w:ilvl="0" w:tplc="A7F2783C">
      <w:start w:val="1"/>
      <w:numFmt w:val="bullet"/>
      <w:lvlText w:val="(一)"/>
      <w:lvlJc w:val="left"/>
    </w:lvl>
    <w:lvl w:ilvl="1" w:tplc="0CB86FF0">
      <w:numFmt w:val="decimal"/>
      <w:lvlText w:val=""/>
      <w:lvlJc w:val="left"/>
    </w:lvl>
    <w:lvl w:ilvl="2" w:tplc="ADC0525C">
      <w:numFmt w:val="decimal"/>
      <w:lvlText w:val=""/>
      <w:lvlJc w:val="left"/>
    </w:lvl>
    <w:lvl w:ilvl="3" w:tplc="2752F89A">
      <w:numFmt w:val="decimal"/>
      <w:lvlText w:val=""/>
      <w:lvlJc w:val="left"/>
    </w:lvl>
    <w:lvl w:ilvl="4" w:tplc="C6EA947E">
      <w:numFmt w:val="decimal"/>
      <w:lvlText w:val=""/>
      <w:lvlJc w:val="left"/>
    </w:lvl>
    <w:lvl w:ilvl="5" w:tplc="0D1EAD8A">
      <w:numFmt w:val="decimal"/>
      <w:lvlText w:val=""/>
      <w:lvlJc w:val="left"/>
    </w:lvl>
    <w:lvl w:ilvl="6" w:tplc="FF340C3E">
      <w:numFmt w:val="decimal"/>
      <w:lvlText w:val=""/>
      <w:lvlJc w:val="left"/>
    </w:lvl>
    <w:lvl w:ilvl="7" w:tplc="F690B630">
      <w:numFmt w:val="decimal"/>
      <w:lvlText w:val=""/>
      <w:lvlJc w:val="left"/>
    </w:lvl>
    <w:lvl w:ilvl="8" w:tplc="DB62F4D6">
      <w:numFmt w:val="decimal"/>
      <w:lvlText w:val=""/>
      <w:lvlJc w:val="left"/>
    </w:lvl>
  </w:abstractNum>
  <w:abstractNum w:abstractNumId="6" w15:restartNumberingAfterBreak="0">
    <w:nsid w:val="0000305E"/>
    <w:multiLevelType w:val="hybridMultilevel"/>
    <w:tmpl w:val="B8144EFA"/>
    <w:lvl w:ilvl="0" w:tplc="3C0CF832">
      <w:start w:val="1"/>
      <w:numFmt w:val="bullet"/>
      <w:lvlText w:val="(二)"/>
      <w:lvlJc w:val="left"/>
    </w:lvl>
    <w:lvl w:ilvl="1" w:tplc="3B36F456">
      <w:numFmt w:val="decimal"/>
      <w:lvlText w:val=""/>
      <w:lvlJc w:val="left"/>
    </w:lvl>
    <w:lvl w:ilvl="2" w:tplc="309A12FE">
      <w:numFmt w:val="decimal"/>
      <w:lvlText w:val=""/>
      <w:lvlJc w:val="left"/>
    </w:lvl>
    <w:lvl w:ilvl="3" w:tplc="DA3EFA48">
      <w:numFmt w:val="decimal"/>
      <w:lvlText w:val=""/>
      <w:lvlJc w:val="left"/>
    </w:lvl>
    <w:lvl w:ilvl="4" w:tplc="54326724">
      <w:numFmt w:val="decimal"/>
      <w:lvlText w:val=""/>
      <w:lvlJc w:val="left"/>
    </w:lvl>
    <w:lvl w:ilvl="5" w:tplc="5714FC2C">
      <w:numFmt w:val="decimal"/>
      <w:lvlText w:val=""/>
      <w:lvlJc w:val="left"/>
    </w:lvl>
    <w:lvl w:ilvl="6" w:tplc="BF6AD5F2">
      <w:numFmt w:val="decimal"/>
      <w:lvlText w:val=""/>
      <w:lvlJc w:val="left"/>
    </w:lvl>
    <w:lvl w:ilvl="7" w:tplc="51B063A6">
      <w:numFmt w:val="decimal"/>
      <w:lvlText w:val=""/>
      <w:lvlJc w:val="left"/>
    </w:lvl>
    <w:lvl w:ilvl="8" w:tplc="692C5DC0">
      <w:numFmt w:val="decimal"/>
      <w:lvlText w:val=""/>
      <w:lvlJc w:val="left"/>
    </w:lvl>
  </w:abstractNum>
  <w:abstractNum w:abstractNumId="7" w15:restartNumberingAfterBreak="0">
    <w:nsid w:val="0000390C"/>
    <w:multiLevelType w:val="hybridMultilevel"/>
    <w:tmpl w:val="6AB4EC32"/>
    <w:lvl w:ilvl="0" w:tplc="B80C138E">
      <w:start w:val="1"/>
      <w:numFmt w:val="bullet"/>
      <w:lvlText w:val="(五)"/>
      <w:lvlJc w:val="left"/>
    </w:lvl>
    <w:lvl w:ilvl="1" w:tplc="A87C20EE">
      <w:numFmt w:val="decimal"/>
      <w:lvlText w:val=""/>
      <w:lvlJc w:val="left"/>
    </w:lvl>
    <w:lvl w:ilvl="2" w:tplc="BDFC138E">
      <w:numFmt w:val="decimal"/>
      <w:lvlText w:val=""/>
      <w:lvlJc w:val="left"/>
    </w:lvl>
    <w:lvl w:ilvl="3" w:tplc="71F098AE">
      <w:numFmt w:val="decimal"/>
      <w:lvlText w:val=""/>
      <w:lvlJc w:val="left"/>
    </w:lvl>
    <w:lvl w:ilvl="4" w:tplc="C0B45F9A">
      <w:numFmt w:val="decimal"/>
      <w:lvlText w:val=""/>
      <w:lvlJc w:val="left"/>
    </w:lvl>
    <w:lvl w:ilvl="5" w:tplc="05CE238E">
      <w:numFmt w:val="decimal"/>
      <w:lvlText w:val=""/>
      <w:lvlJc w:val="left"/>
    </w:lvl>
    <w:lvl w:ilvl="6" w:tplc="81122332">
      <w:numFmt w:val="decimal"/>
      <w:lvlText w:val=""/>
      <w:lvlJc w:val="left"/>
    </w:lvl>
    <w:lvl w:ilvl="7" w:tplc="8B4083EC">
      <w:numFmt w:val="decimal"/>
      <w:lvlText w:val=""/>
      <w:lvlJc w:val="left"/>
    </w:lvl>
    <w:lvl w:ilvl="8" w:tplc="6EF4DF52">
      <w:numFmt w:val="decimal"/>
      <w:lvlText w:val=""/>
      <w:lvlJc w:val="left"/>
    </w:lvl>
  </w:abstractNum>
  <w:abstractNum w:abstractNumId="8" w15:restartNumberingAfterBreak="0">
    <w:nsid w:val="0000440D"/>
    <w:multiLevelType w:val="hybridMultilevel"/>
    <w:tmpl w:val="0206FA8A"/>
    <w:lvl w:ilvl="0" w:tplc="0CD6BC6C">
      <w:start w:val="1"/>
      <w:numFmt w:val="bullet"/>
      <w:lvlText w:val="(四)"/>
      <w:lvlJc w:val="left"/>
    </w:lvl>
    <w:lvl w:ilvl="1" w:tplc="039243C0">
      <w:numFmt w:val="decimal"/>
      <w:lvlText w:val=""/>
      <w:lvlJc w:val="left"/>
    </w:lvl>
    <w:lvl w:ilvl="2" w:tplc="7374ADFA">
      <w:numFmt w:val="decimal"/>
      <w:lvlText w:val=""/>
      <w:lvlJc w:val="left"/>
    </w:lvl>
    <w:lvl w:ilvl="3" w:tplc="E4204BB4">
      <w:numFmt w:val="decimal"/>
      <w:lvlText w:val=""/>
      <w:lvlJc w:val="left"/>
    </w:lvl>
    <w:lvl w:ilvl="4" w:tplc="A0EAE1B6">
      <w:numFmt w:val="decimal"/>
      <w:lvlText w:val=""/>
      <w:lvlJc w:val="left"/>
    </w:lvl>
    <w:lvl w:ilvl="5" w:tplc="C1D82DD6">
      <w:numFmt w:val="decimal"/>
      <w:lvlText w:val=""/>
      <w:lvlJc w:val="left"/>
    </w:lvl>
    <w:lvl w:ilvl="6" w:tplc="E2F0A2EC">
      <w:numFmt w:val="decimal"/>
      <w:lvlText w:val=""/>
      <w:lvlJc w:val="left"/>
    </w:lvl>
    <w:lvl w:ilvl="7" w:tplc="BB0418EA">
      <w:numFmt w:val="decimal"/>
      <w:lvlText w:val=""/>
      <w:lvlJc w:val="left"/>
    </w:lvl>
    <w:lvl w:ilvl="8" w:tplc="235A94CE">
      <w:numFmt w:val="decimal"/>
      <w:lvlText w:val=""/>
      <w:lvlJc w:val="left"/>
    </w:lvl>
  </w:abstractNum>
  <w:abstractNum w:abstractNumId="9" w15:restartNumberingAfterBreak="0">
    <w:nsid w:val="0000491C"/>
    <w:multiLevelType w:val="hybridMultilevel"/>
    <w:tmpl w:val="4C3E5936"/>
    <w:lvl w:ilvl="0" w:tplc="DEF03636">
      <w:start w:val="1"/>
      <w:numFmt w:val="bullet"/>
      <w:lvlText w:val="(六)"/>
      <w:lvlJc w:val="left"/>
    </w:lvl>
    <w:lvl w:ilvl="1" w:tplc="1EC85116">
      <w:numFmt w:val="decimal"/>
      <w:lvlText w:val=""/>
      <w:lvlJc w:val="left"/>
    </w:lvl>
    <w:lvl w:ilvl="2" w:tplc="47563A08">
      <w:numFmt w:val="decimal"/>
      <w:lvlText w:val=""/>
      <w:lvlJc w:val="left"/>
    </w:lvl>
    <w:lvl w:ilvl="3" w:tplc="936AB702">
      <w:numFmt w:val="decimal"/>
      <w:lvlText w:val=""/>
      <w:lvlJc w:val="left"/>
    </w:lvl>
    <w:lvl w:ilvl="4" w:tplc="3F96F1A0">
      <w:numFmt w:val="decimal"/>
      <w:lvlText w:val=""/>
      <w:lvlJc w:val="left"/>
    </w:lvl>
    <w:lvl w:ilvl="5" w:tplc="0D6419D6">
      <w:numFmt w:val="decimal"/>
      <w:lvlText w:val=""/>
      <w:lvlJc w:val="left"/>
    </w:lvl>
    <w:lvl w:ilvl="6" w:tplc="66EA797A">
      <w:numFmt w:val="decimal"/>
      <w:lvlText w:val=""/>
      <w:lvlJc w:val="left"/>
    </w:lvl>
    <w:lvl w:ilvl="7" w:tplc="C8B445AA">
      <w:numFmt w:val="decimal"/>
      <w:lvlText w:val=""/>
      <w:lvlJc w:val="left"/>
    </w:lvl>
    <w:lvl w:ilvl="8" w:tplc="10FE559A">
      <w:numFmt w:val="decimal"/>
      <w:lvlText w:val=""/>
      <w:lvlJc w:val="left"/>
    </w:lvl>
  </w:abstractNum>
  <w:abstractNum w:abstractNumId="10" w15:restartNumberingAfterBreak="0">
    <w:nsid w:val="00007E87"/>
    <w:multiLevelType w:val="hybridMultilevel"/>
    <w:tmpl w:val="0A90717C"/>
    <w:lvl w:ilvl="0" w:tplc="44748632">
      <w:start w:val="1"/>
      <w:numFmt w:val="bullet"/>
      <w:lvlText w:val="(四)"/>
      <w:lvlJc w:val="left"/>
    </w:lvl>
    <w:lvl w:ilvl="1" w:tplc="BF2A5E50">
      <w:numFmt w:val="decimal"/>
      <w:lvlText w:val=""/>
      <w:lvlJc w:val="left"/>
    </w:lvl>
    <w:lvl w:ilvl="2" w:tplc="B400E94E">
      <w:numFmt w:val="decimal"/>
      <w:lvlText w:val=""/>
      <w:lvlJc w:val="left"/>
    </w:lvl>
    <w:lvl w:ilvl="3" w:tplc="03008924">
      <w:numFmt w:val="decimal"/>
      <w:lvlText w:val=""/>
      <w:lvlJc w:val="left"/>
    </w:lvl>
    <w:lvl w:ilvl="4" w:tplc="C07C0B72">
      <w:numFmt w:val="decimal"/>
      <w:lvlText w:val=""/>
      <w:lvlJc w:val="left"/>
    </w:lvl>
    <w:lvl w:ilvl="5" w:tplc="74E25DC4">
      <w:numFmt w:val="decimal"/>
      <w:lvlText w:val=""/>
      <w:lvlJc w:val="left"/>
    </w:lvl>
    <w:lvl w:ilvl="6" w:tplc="A6D01130">
      <w:numFmt w:val="decimal"/>
      <w:lvlText w:val=""/>
      <w:lvlJc w:val="left"/>
    </w:lvl>
    <w:lvl w:ilvl="7" w:tplc="B78E39F0">
      <w:numFmt w:val="decimal"/>
      <w:lvlText w:val=""/>
      <w:lvlJc w:val="left"/>
    </w:lvl>
    <w:lvl w:ilvl="8" w:tplc="2DC676A0">
      <w:numFmt w:val="decimal"/>
      <w:lvlText w:val=""/>
      <w:lvlJc w:val="left"/>
    </w:lvl>
  </w:abstractNum>
  <w:abstractNum w:abstractNumId="11" w15:restartNumberingAfterBreak="0">
    <w:nsid w:val="781B7742"/>
    <w:multiLevelType w:val="hybridMultilevel"/>
    <w:tmpl w:val="C5B2D230"/>
    <w:lvl w:ilvl="0" w:tplc="0409000F">
      <w:start w:val="1"/>
      <w:numFmt w:val="decimal"/>
      <w:lvlText w:val="%1."/>
      <w:lvlJc w:val="left"/>
      <w:pPr>
        <w:ind w:left="420" w:hanging="420"/>
      </w:pPr>
    </w:lvl>
    <w:lvl w:ilvl="1" w:tplc="45368380">
      <w:numFmt w:val="decimal"/>
      <w:lvlText w:val=""/>
      <w:lvlJc w:val="left"/>
    </w:lvl>
    <w:lvl w:ilvl="2" w:tplc="4A72788E">
      <w:numFmt w:val="decimal"/>
      <w:lvlText w:val=""/>
      <w:lvlJc w:val="left"/>
    </w:lvl>
    <w:lvl w:ilvl="3" w:tplc="8364097C">
      <w:numFmt w:val="decimal"/>
      <w:lvlText w:val=""/>
      <w:lvlJc w:val="left"/>
    </w:lvl>
    <w:lvl w:ilvl="4" w:tplc="495A5F56">
      <w:numFmt w:val="decimal"/>
      <w:lvlText w:val=""/>
      <w:lvlJc w:val="left"/>
    </w:lvl>
    <w:lvl w:ilvl="5" w:tplc="D4C655BC">
      <w:numFmt w:val="decimal"/>
      <w:lvlText w:val=""/>
      <w:lvlJc w:val="left"/>
    </w:lvl>
    <w:lvl w:ilvl="6" w:tplc="7BD89EA0">
      <w:numFmt w:val="decimal"/>
      <w:lvlText w:val=""/>
      <w:lvlJc w:val="left"/>
    </w:lvl>
    <w:lvl w:ilvl="7" w:tplc="092C33D2">
      <w:numFmt w:val="decimal"/>
      <w:lvlText w:val=""/>
      <w:lvlJc w:val="left"/>
    </w:lvl>
    <w:lvl w:ilvl="8" w:tplc="4CF83892">
      <w:numFmt w:val="decimal"/>
      <w:lvlText w:val=""/>
      <w:lvlJc w:val="left"/>
    </w:lvl>
  </w:abstractNum>
  <w:num w:numId="1" w16cid:durableId="1155299349">
    <w:abstractNumId w:val="5"/>
  </w:num>
  <w:num w:numId="2" w16cid:durableId="2117939466">
    <w:abstractNumId w:val="3"/>
  </w:num>
  <w:num w:numId="3" w16cid:durableId="393964892">
    <w:abstractNumId w:val="4"/>
  </w:num>
  <w:num w:numId="4" w16cid:durableId="1563979256">
    <w:abstractNumId w:val="10"/>
  </w:num>
  <w:num w:numId="5" w16cid:durableId="270167163">
    <w:abstractNumId w:val="7"/>
  </w:num>
  <w:num w:numId="6" w16cid:durableId="172305913">
    <w:abstractNumId w:val="2"/>
  </w:num>
  <w:num w:numId="7" w16cid:durableId="1956862019">
    <w:abstractNumId w:val="0"/>
  </w:num>
  <w:num w:numId="8" w16cid:durableId="2017875172">
    <w:abstractNumId w:val="1"/>
  </w:num>
  <w:num w:numId="9" w16cid:durableId="1443963044">
    <w:abstractNumId w:val="6"/>
  </w:num>
  <w:num w:numId="10" w16cid:durableId="822165180">
    <w:abstractNumId w:val="8"/>
  </w:num>
  <w:num w:numId="11" w16cid:durableId="165368656">
    <w:abstractNumId w:val="9"/>
  </w:num>
  <w:num w:numId="12" w16cid:durableId="942421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601"/>
    <w:rsid w:val="00035A52"/>
    <w:rsid w:val="001A43CF"/>
    <w:rsid w:val="001D36E3"/>
    <w:rsid w:val="001D3F63"/>
    <w:rsid w:val="00220C9E"/>
    <w:rsid w:val="00226AB6"/>
    <w:rsid w:val="002D26E7"/>
    <w:rsid w:val="004219D6"/>
    <w:rsid w:val="00422259"/>
    <w:rsid w:val="005150D1"/>
    <w:rsid w:val="005E01DE"/>
    <w:rsid w:val="0068517E"/>
    <w:rsid w:val="006B271D"/>
    <w:rsid w:val="006D5B90"/>
    <w:rsid w:val="007176FF"/>
    <w:rsid w:val="007C7908"/>
    <w:rsid w:val="008834D2"/>
    <w:rsid w:val="008B7995"/>
    <w:rsid w:val="009A55D7"/>
    <w:rsid w:val="00AE3601"/>
    <w:rsid w:val="00AE7F00"/>
    <w:rsid w:val="00B677D2"/>
    <w:rsid w:val="00C1333C"/>
    <w:rsid w:val="00C22A41"/>
    <w:rsid w:val="00C4262B"/>
    <w:rsid w:val="00C5787E"/>
    <w:rsid w:val="00CD4823"/>
    <w:rsid w:val="00D218F7"/>
    <w:rsid w:val="00E50687"/>
    <w:rsid w:val="00ED5E79"/>
    <w:rsid w:val="00F11E97"/>
    <w:rsid w:val="00F2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BF85"/>
  <w15:docId w15:val="{3194A596-FA77-4694-B671-17C35BC2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F00"/>
    <w:pPr>
      <w:ind w:firstLineChars="200" w:firstLine="420"/>
    </w:pPr>
  </w:style>
  <w:style w:type="paragraph" w:styleId="a4">
    <w:name w:val="header"/>
    <w:basedOn w:val="a"/>
    <w:link w:val="a5"/>
    <w:uiPriority w:val="99"/>
    <w:unhideWhenUsed/>
    <w:rsid w:val="00C133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1333C"/>
    <w:rPr>
      <w:sz w:val="18"/>
      <w:szCs w:val="18"/>
    </w:rPr>
  </w:style>
  <w:style w:type="paragraph" w:styleId="a6">
    <w:name w:val="footer"/>
    <w:basedOn w:val="a"/>
    <w:link w:val="a7"/>
    <w:uiPriority w:val="99"/>
    <w:unhideWhenUsed/>
    <w:rsid w:val="00C1333C"/>
    <w:pPr>
      <w:tabs>
        <w:tab w:val="center" w:pos="4153"/>
        <w:tab w:val="right" w:pos="8306"/>
      </w:tabs>
      <w:snapToGrid w:val="0"/>
    </w:pPr>
    <w:rPr>
      <w:sz w:val="18"/>
      <w:szCs w:val="18"/>
    </w:rPr>
  </w:style>
  <w:style w:type="character" w:customStyle="1" w:styleId="a7">
    <w:name w:val="页脚 字符"/>
    <w:basedOn w:val="a0"/>
    <w:link w:val="a6"/>
    <w:uiPriority w:val="99"/>
    <w:rsid w:val="00C1333C"/>
    <w:rPr>
      <w:sz w:val="18"/>
      <w:szCs w:val="18"/>
    </w:rPr>
  </w:style>
  <w:style w:type="character" w:styleId="a8">
    <w:name w:val="page number"/>
    <w:basedOn w:val="a0"/>
    <w:uiPriority w:val="99"/>
    <w:semiHidden/>
    <w:unhideWhenUsed/>
    <w:rsid w:val="00C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良店王</cp:lastModifiedBy>
  <cp:revision>24</cp:revision>
  <dcterms:created xsi:type="dcterms:W3CDTF">2020-12-07T14:57:00Z</dcterms:created>
  <dcterms:modified xsi:type="dcterms:W3CDTF">2024-10-28T05:44:00Z</dcterms:modified>
</cp:coreProperties>
</file>