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16D9C" w14:textId="056D3751" w:rsidR="008360EC" w:rsidRPr="00B05071" w:rsidRDefault="008360EC">
      <w:pPr>
        <w:spacing w:line="42" w:lineRule="exact"/>
        <w:rPr>
          <w:rFonts w:ascii="仿宋" w:eastAsia="仿宋" w:hAnsi="仿宋"/>
          <w:sz w:val="24"/>
          <w:szCs w:val="24"/>
        </w:rPr>
      </w:pPr>
    </w:p>
    <w:p w14:paraId="35401E30" w14:textId="16869A54" w:rsidR="008360EC" w:rsidRPr="00FD057A" w:rsidRDefault="009866B0" w:rsidP="00FD057A">
      <w:pPr>
        <w:spacing w:line="360" w:lineRule="auto"/>
        <w:jc w:val="center"/>
        <w:rPr>
          <w:rFonts w:ascii="仿宋" w:eastAsia="仿宋" w:hAnsi="仿宋"/>
          <w:sz w:val="32"/>
          <w:szCs w:val="32"/>
        </w:rPr>
      </w:pPr>
      <w:r>
        <w:rPr>
          <w:rFonts w:ascii="仿宋" w:eastAsia="仿宋" w:hAnsi="仿宋" w:cs="宋体" w:hint="eastAsia"/>
          <w:sz w:val="32"/>
          <w:szCs w:val="32"/>
        </w:rPr>
        <w:t>北京中和公益基金会</w:t>
      </w:r>
      <w:r w:rsidR="00710654" w:rsidRPr="004D7DAB">
        <w:rPr>
          <w:rFonts w:ascii="仿宋" w:eastAsia="仿宋" w:hAnsi="仿宋" w:cs="宋体"/>
          <w:sz w:val="32"/>
          <w:szCs w:val="32"/>
        </w:rPr>
        <w:t>保值增值投资活动管理制度</w:t>
      </w:r>
    </w:p>
    <w:p w14:paraId="6E34F3DD" w14:textId="77777777" w:rsidR="008360EC" w:rsidRPr="00A43F13" w:rsidRDefault="008360EC">
      <w:pPr>
        <w:spacing w:line="204" w:lineRule="exact"/>
        <w:rPr>
          <w:rFonts w:ascii="仿宋" w:eastAsia="仿宋" w:hAnsi="仿宋"/>
          <w:sz w:val="24"/>
          <w:szCs w:val="24"/>
        </w:rPr>
      </w:pPr>
    </w:p>
    <w:p w14:paraId="63005B94" w14:textId="6FC131C6" w:rsidR="008360EC" w:rsidRPr="00A43F13" w:rsidRDefault="00710654" w:rsidP="00F207D7">
      <w:pPr>
        <w:spacing w:afterLines="50" w:after="120" w:line="360" w:lineRule="auto"/>
        <w:jc w:val="center"/>
        <w:rPr>
          <w:rFonts w:ascii="仿宋" w:eastAsia="仿宋" w:hAnsi="仿宋"/>
          <w:sz w:val="24"/>
          <w:szCs w:val="24"/>
        </w:rPr>
      </w:pPr>
      <w:r w:rsidRPr="00A43F13">
        <w:rPr>
          <w:rFonts w:ascii="仿宋" w:eastAsia="仿宋" w:hAnsi="仿宋" w:cs="宋体"/>
          <w:b/>
          <w:bCs/>
          <w:sz w:val="24"/>
          <w:szCs w:val="24"/>
        </w:rPr>
        <w:t>第一章 总则</w:t>
      </w:r>
    </w:p>
    <w:p w14:paraId="3684F93F" w14:textId="295CF3AA"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第一条</w:t>
      </w:r>
      <w:r w:rsidRPr="00A43F13">
        <w:rPr>
          <w:rFonts w:ascii="仿宋" w:eastAsia="仿宋" w:hAnsi="仿宋" w:cs="宋体"/>
          <w:sz w:val="24"/>
          <w:szCs w:val="24"/>
        </w:rPr>
        <w:t xml:space="preserve"> 为规范</w:t>
      </w:r>
      <w:r w:rsidR="009866B0">
        <w:rPr>
          <w:rFonts w:ascii="仿宋" w:eastAsia="仿宋" w:hAnsi="仿宋" w:cs="宋体" w:hint="eastAsia"/>
          <w:sz w:val="24"/>
          <w:szCs w:val="24"/>
        </w:rPr>
        <w:t>北京中和公益基金会</w:t>
      </w:r>
      <w:r w:rsidR="00994B55" w:rsidRPr="00A43F13">
        <w:rPr>
          <w:rFonts w:ascii="仿宋" w:eastAsia="仿宋" w:hAnsi="仿宋" w:cs="宋体" w:hint="eastAsia"/>
          <w:sz w:val="24"/>
          <w:szCs w:val="24"/>
        </w:rPr>
        <w:t>（以下简称“</w:t>
      </w:r>
      <w:r w:rsidR="00994B55" w:rsidRPr="00A43F13">
        <w:rPr>
          <w:rFonts w:ascii="仿宋" w:eastAsia="仿宋" w:hAnsi="仿宋" w:cs="宋体"/>
          <w:sz w:val="24"/>
          <w:szCs w:val="24"/>
        </w:rPr>
        <w:t>基金会</w:t>
      </w:r>
      <w:r w:rsidR="00994B55" w:rsidRPr="00A43F13">
        <w:rPr>
          <w:rFonts w:ascii="仿宋" w:eastAsia="仿宋" w:hAnsi="仿宋" w:cs="宋体" w:hint="eastAsia"/>
          <w:sz w:val="24"/>
          <w:szCs w:val="24"/>
        </w:rPr>
        <w:t>”）</w:t>
      </w:r>
      <w:r w:rsidRPr="00A43F13">
        <w:rPr>
          <w:rFonts w:ascii="仿宋" w:eastAsia="仿宋" w:hAnsi="仿宋" w:cs="宋体"/>
          <w:sz w:val="24"/>
          <w:szCs w:val="24"/>
        </w:rPr>
        <w:t>保值增值的投资活动，防范慈善财产运用风险，促进慈善组织持续、健康发展，根据《中华人民共和国慈善法》、《基金会管理条例》、《慈善组织保值增值投资活动管理暂行办法》、《民政部关于印发&lt;关于规范基金会行为的若干规定（试行）&gt;的通知》、《财政部关于印发&lt;民间非营利组织会计制度&gt;的通知》等规定和基金会章程，结合实际，制定本制度。</w:t>
      </w:r>
    </w:p>
    <w:p w14:paraId="00E7A65A" w14:textId="742CC975"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第二条</w:t>
      </w:r>
      <w:r w:rsidRPr="00A43F13">
        <w:rPr>
          <w:rFonts w:ascii="仿宋" w:eastAsia="仿宋" w:hAnsi="仿宋" w:cs="宋体"/>
          <w:sz w:val="24"/>
          <w:szCs w:val="24"/>
        </w:rPr>
        <w:t xml:space="preserve"> 本制度规定了基金会的投资原则、投资范围、不得投资范围、审批权限、投资运作程序、重大投资标准、投资风险管控、投资活动止损退出机制、违规投资责任追究等内容。</w:t>
      </w:r>
    </w:p>
    <w:p w14:paraId="51E57F38" w14:textId="77777777" w:rsidR="008360EC" w:rsidRPr="00A43F13" w:rsidRDefault="008360EC">
      <w:pPr>
        <w:spacing w:line="323" w:lineRule="exact"/>
        <w:rPr>
          <w:rFonts w:ascii="仿宋" w:eastAsia="仿宋" w:hAnsi="仿宋"/>
          <w:sz w:val="24"/>
          <w:szCs w:val="24"/>
        </w:rPr>
      </w:pPr>
    </w:p>
    <w:p w14:paraId="78634182" w14:textId="619F5E15" w:rsidR="008360EC" w:rsidRPr="00F207D7"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t>第二章 投资的基本原则</w:t>
      </w:r>
    </w:p>
    <w:p w14:paraId="1395AB9B" w14:textId="40E35322"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第三条</w:t>
      </w:r>
      <w:r w:rsidRPr="00A43F13">
        <w:rPr>
          <w:rFonts w:ascii="仿宋" w:eastAsia="仿宋" w:hAnsi="仿宋" w:cs="宋体"/>
          <w:sz w:val="24"/>
          <w:szCs w:val="24"/>
        </w:rPr>
        <w:t xml:space="preserve"> 基金会投资遵循合法、安全、有效的基本原则。</w:t>
      </w:r>
    </w:p>
    <w:p w14:paraId="42396068" w14:textId="4D5F68F3"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第四条</w:t>
      </w:r>
      <w:r w:rsidRPr="00A43F13">
        <w:rPr>
          <w:rFonts w:ascii="仿宋" w:eastAsia="仿宋" w:hAnsi="仿宋" w:cs="宋体"/>
          <w:sz w:val="24"/>
          <w:szCs w:val="24"/>
        </w:rPr>
        <w:t xml:space="preserve"> 基金会的投资应遵循国家的法律法规</w:t>
      </w:r>
      <w:r w:rsidR="00994B55" w:rsidRPr="00A43F13">
        <w:rPr>
          <w:rFonts w:ascii="仿宋" w:eastAsia="仿宋" w:hAnsi="仿宋" w:cs="宋体" w:hint="eastAsia"/>
          <w:sz w:val="24"/>
          <w:szCs w:val="24"/>
        </w:rPr>
        <w:t>。</w:t>
      </w:r>
      <w:r w:rsidRPr="00A43F13">
        <w:rPr>
          <w:rFonts w:ascii="仿宋" w:eastAsia="仿宋" w:hAnsi="仿宋" w:cs="宋体"/>
          <w:sz w:val="24"/>
          <w:szCs w:val="24"/>
        </w:rPr>
        <w:t>基金会的投资必须注重防范风险，保证本金的安全。</w:t>
      </w:r>
    </w:p>
    <w:p w14:paraId="26A326A9" w14:textId="11F98102"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第五条</w:t>
      </w:r>
      <w:r w:rsidRPr="00A43F13">
        <w:rPr>
          <w:rFonts w:ascii="仿宋" w:eastAsia="仿宋" w:hAnsi="仿宋" w:cs="宋体"/>
          <w:sz w:val="24"/>
          <w:szCs w:val="24"/>
        </w:rPr>
        <w:t xml:space="preserve"> 基金会可用于投资的财产是基金会非限定性资产和投资期间不需要拨付的限定性资产。投资资产占基金会总资产的比例一般为50%，最高不超过90%。</w:t>
      </w:r>
    </w:p>
    <w:p w14:paraId="6F63AF7E" w14:textId="603A89A2"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第六条</w:t>
      </w:r>
      <w:r w:rsidRPr="00A43F13">
        <w:rPr>
          <w:rFonts w:ascii="仿宋" w:eastAsia="仿宋" w:hAnsi="仿宋" w:cs="宋体"/>
          <w:sz w:val="24"/>
          <w:szCs w:val="24"/>
        </w:rPr>
        <w:t xml:space="preserve"> 基金会的投资活动以不妨碍正常慈善活动为前提，必须保持足够的现金和货币基金等流动性较高的资产，以保证按捐赠和资助协议的约定及时、足额划拨应付款项，保证公益支出的实现。备用金存款额度：以保证日常业务运转为前提，不低于</w:t>
      </w:r>
      <w:r w:rsidR="008B146E" w:rsidRPr="00A43F13">
        <w:rPr>
          <w:rFonts w:ascii="仿宋" w:eastAsia="仿宋" w:hAnsi="仿宋" w:cs="宋体" w:hint="eastAsia"/>
          <w:sz w:val="24"/>
          <w:szCs w:val="24"/>
        </w:rPr>
        <w:t>人民币</w:t>
      </w:r>
      <w:r w:rsidR="00374440" w:rsidRPr="00A43F13">
        <w:rPr>
          <w:rFonts w:ascii="仿宋" w:eastAsia="仿宋" w:hAnsi="仿宋" w:cs="宋体"/>
          <w:sz w:val="24"/>
          <w:szCs w:val="24"/>
        </w:rPr>
        <w:t>2</w:t>
      </w:r>
      <w:r w:rsidRPr="00A43F13">
        <w:rPr>
          <w:rFonts w:ascii="仿宋" w:eastAsia="仿宋" w:hAnsi="仿宋" w:cs="宋体"/>
          <w:sz w:val="24"/>
          <w:szCs w:val="24"/>
        </w:rPr>
        <w:t>0万，并可适当组合各类存款类型，在保证有重大事件发生可灵活调用，在此灵活性基础上提高收益率</w:t>
      </w:r>
      <w:r w:rsidR="00073A3F" w:rsidRPr="00A43F13">
        <w:rPr>
          <w:rFonts w:ascii="仿宋" w:eastAsia="仿宋" w:hAnsi="仿宋" w:cs="宋体" w:hint="eastAsia"/>
          <w:sz w:val="24"/>
          <w:szCs w:val="24"/>
        </w:rPr>
        <w:t>。</w:t>
      </w:r>
    </w:p>
    <w:p w14:paraId="4E9078FB" w14:textId="4D4E7AF8"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第七条</w:t>
      </w:r>
      <w:r w:rsidRPr="00A43F13">
        <w:rPr>
          <w:rFonts w:ascii="仿宋" w:eastAsia="仿宋" w:hAnsi="仿宋" w:cs="宋体"/>
          <w:sz w:val="24"/>
          <w:szCs w:val="24"/>
        </w:rPr>
        <w:t xml:space="preserve"> 理财及投资产品类型：限定为保本型理财产品或信用评级为AAA货币市场基金，具体理财及投资方案由</w:t>
      </w:r>
      <w:r w:rsidRPr="00A43F13">
        <w:rPr>
          <w:rFonts w:ascii="仿宋" w:eastAsia="仿宋" w:hAnsi="仿宋" w:cs="宋体" w:hint="eastAsia"/>
          <w:sz w:val="24"/>
          <w:szCs w:val="24"/>
        </w:rPr>
        <w:t>基金会财务</w:t>
      </w:r>
      <w:r w:rsidRPr="00A43F13">
        <w:rPr>
          <w:rFonts w:ascii="仿宋" w:eastAsia="仿宋" w:hAnsi="仿宋" w:cs="宋体"/>
          <w:sz w:val="24"/>
          <w:szCs w:val="24"/>
        </w:rPr>
        <w:t>部本着兼顾资金安全及收益最大化的原则进行操作</w:t>
      </w:r>
      <w:r w:rsidR="00073A3F" w:rsidRPr="00A43F13">
        <w:rPr>
          <w:rFonts w:ascii="仿宋" w:eastAsia="仿宋" w:hAnsi="仿宋" w:cs="宋体" w:hint="eastAsia"/>
          <w:sz w:val="24"/>
          <w:szCs w:val="24"/>
        </w:rPr>
        <w:t>。</w:t>
      </w:r>
    </w:p>
    <w:p w14:paraId="5CD92AE8" w14:textId="728BECC8"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第八条</w:t>
      </w:r>
      <w:r w:rsidRPr="00A43F13">
        <w:rPr>
          <w:rFonts w:ascii="仿宋" w:eastAsia="仿宋" w:hAnsi="仿宋" w:cs="宋体"/>
          <w:sz w:val="24"/>
          <w:szCs w:val="24"/>
        </w:rPr>
        <w:t xml:space="preserve"> 理财或投资产品周期：理财产品不超过</w:t>
      </w:r>
      <w:r w:rsidR="00C51411" w:rsidRPr="00A43F13">
        <w:rPr>
          <w:rFonts w:ascii="仿宋" w:eastAsia="仿宋" w:hAnsi="仿宋" w:cs="宋体"/>
          <w:sz w:val="24"/>
          <w:szCs w:val="24"/>
        </w:rPr>
        <w:t>3</w:t>
      </w:r>
      <w:r w:rsidRPr="00A43F13">
        <w:rPr>
          <w:rFonts w:ascii="仿宋" w:eastAsia="仿宋" w:hAnsi="仿宋" w:cs="宋体"/>
          <w:sz w:val="24"/>
          <w:szCs w:val="24"/>
        </w:rPr>
        <w:t>个月，循环购买，以备运营之需；货币市场基金根据基金会业务需要可随时赎回。</w:t>
      </w:r>
    </w:p>
    <w:p w14:paraId="3A7AC5FC" w14:textId="6672F3E5"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第九条</w:t>
      </w:r>
      <w:r w:rsidRPr="00A43F13">
        <w:rPr>
          <w:rFonts w:ascii="仿宋" w:eastAsia="仿宋" w:hAnsi="仿宋" w:cs="宋体"/>
          <w:sz w:val="24"/>
          <w:szCs w:val="24"/>
        </w:rPr>
        <w:t xml:space="preserve"> 投资及理财产品额度：在满足以上备用金存款要求及投资、理财产</w:t>
      </w:r>
      <w:bookmarkStart w:id="0" w:name="page2"/>
      <w:bookmarkEnd w:id="0"/>
      <w:r w:rsidRPr="00A43F13">
        <w:rPr>
          <w:rFonts w:ascii="仿宋" w:eastAsia="仿宋" w:hAnsi="仿宋" w:cs="宋体"/>
          <w:sz w:val="24"/>
          <w:szCs w:val="24"/>
        </w:rPr>
        <w:t>品类型的基础上，基金会用于投资及理财的资产占基金会总资产的比例不高于90%。</w:t>
      </w:r>
    </w:p>
    <w:p w14:paraId="130A1AE8" w14:textId="77777777" w:rsidR="008360EC" w:rsidRPr="00A43F13" w:rsidRDefault="008360EC">
      <w:pPr>
        <w:spacing w:line="325" w:lineRule="exact"/>
        <w:rPr>
          <w:rFonts w:ascii="仿宋" w:eastAsia="仿宋" w:hAnsi="仿宋"/>
          <w:sz w:val="24"/>
          <w:szCs w:val="24"/>
        </w:rPr>
      </w:pPr>
    </w:p>
    <w:p w14:paraId="2FB506D1" w14:textId="39E92DDC" w:rsidR="008360EC" w:rsidRPr="00F207D7"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lastRenderedPageBreak/>
        <w:t>第三章 投资决策程序和管理流程</w:t>
      </w:r>
    </w:p>
    <w:p w14:paraId="33CC8400" w14:textId="77777777" w:rsidR="00717159" w:rsidRPr="00A43F13" w:rsidRDefault="00710654" w:rsidP="00073A3F">
      <w:pPr>
        <w:spacing w:line="360" w:lineRule="auto"/>
        <w:rPr>
          <w:rFonts w:ascii="仿宋" w:eastAsia="仿宋" w:hAnsi="仿宋" w:cs="宋体"/>
          <w:sz w:val="24"/>
          <w:szCs w:val="24"/>
        </w:rPr>
      </w:pPr>
      <w:r w:rsidRPr="00A43F13">
        <w:rPr>
          <w:rFonts w:ascii="仿宋" w:eastAsia="仿宋" w:hAnsi="仿宋" w:cs="宋体"/>
          <w:b/>
          <w:bCs/>
          <w:sz w:val="24"/>
          <w:szCs w:val="24"/>
        </w:rPr>
        <w:t>第十条</w:t>
      </w:r>
      <w:r w:rsidRPr="00A43F13">
        <w:rPr>
          <w:rFonts w:ascii="仿宋" w:eastAsia="仿宋" w:hAnsi="仿宋" w:cs="宋体"/>
          <w:sz w:val="24"/>
          <w:szCs w:val="24"/>
        </w:rPr>
        <w:t xml:space="preserve"> 理事会是基金会的最高投资决策机构，监事根据章程实行监督。</w:t>
      </w:r>
    </w:p>
    <w:p w14:paraId="5EAAE885" w14:textId="0E283847"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第十一条</w:t>
      </w:r>
      <w:r w:rsidRPr="00A43F13">
        <w:rPr>
          <w:rFonts w:ascii="仿宋" w:eastAsia="仿宋" w:hAnsi="仿宋" w:cs="宋体"/>
          <w:sz w:val="24"/>
          <w:szCs w:val="24"/>
        </w:rPr>
        <w:t xml:space="preserve"> 基金会的投资事项由财务组负责，具体负责投资活动方案、风险评估等工作。理事会认为有必要时，可设立专业的投资管理委员会。</w:t>
      </w:r>
    </w:p>
    <w:p w14:paraId="6DE71768" w14:textId="2AC0B889"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第十二条</w:t>
      </w:r>
      <w:r w:rsidRPr="00A43F13">
        <w:rPr>
          <w:rFonts w:ascii="仿宋" w:eastAsia="仿宋" w:hAnsi="仿宋" w:cs="宋体"/>
          <w:sz w:val="24"/>
          <w:szCs w:val="24"/>
        </w:rPr>
        <w:t xml:space="preserve"> 投资项目应当建立专项档案，完整保存投资的论证、审批、管理和回收等全过程资料。秘书处负责投资活动所有材料的存档，投资专项档案保存时间不少于20年。</w:t>
      </w:r>
    </w:p>
    <w:p w14:paraId="404D1A3F" w14:textId="3B8795D4"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第十三条</w:t>
      </w:r>
      <w:r w:rsidRPr="00A43F13">
        <w:rPr>
          <w:rFonts w:ascii="仿宋" w:eastAsia="仿宋" w:hAnsi="仿宋" w:cs="宋体"/>
          <w:sz w:val="24"/>
          <w:szCs w:val="24"/>
        </w:rPr>
        <w:t xml:space="preserve"> 属于投资重大事项的，上报基金会理事会，由理事会审议表决，重大投资事项以外，由理事会授权秘书长审批（秘书长空缺的情况下，理事长代秘书长审批）。</w:t>
      </w:r>
    </w:p>
    <w:p w14:paraId="0D837991" w14:textId="54674793"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第十四条</w:t>
      </w:r>
      <w:r w:rsidRPr="00A43F13">
        <w:rPr>
          <w:rFonts w:ascii="仿宋" w:eastAsia="仿宋" w:hAnsi="仿宋" w:cs="宋体"/>
          <w:sz w:val="24"/>
          <w:szCs w:val="24"/>
        </w:rPr>
        <w:t xml:space="preserve"> </w:t>
      </w:r>
      <w:r w:rsidR="00717159" w:rsidRPr="00A43F13">
        <w:rPr>
          <w:rFonts w:ascii="仿宋" w:eastAsia="仿宋" w:hAnsi="仿宋" w:cs="宋体" w:hint="eastAsia"/>
          <w:sz w:val="24"/>
          <w:szCs w:val="24"/>
        </w:rPr>
        <w:t>基金会做</w:t>
      </w:r>
      <w:r w:rsidRPr="00A43F13">
        <w:rPr>
          <w:rFonts w:ascii="仿宋" w:eastAsia="仿宋" w:hAnsi="仿宋" w:cs="宋体"/>
          <w:sz w:val="24"/>
          <w:szCs w:val="24"/>
        </w:rPr>
        <w:t>出投资活动决议后，由财务负责人配合秘书长落地执行。</w:t>
      </w:r>
    </w:p>
    <w:p w14:paraId="096B9ED5" w14:textId="1874DDF5"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第十五条</w:t>
      </w:r>
      <w:r w:rsidRPr="00A43F13">
        <w:rPr>
          <w:rFonts w:ascii="仿宋" w:eastAsia="仿宋" w:hAnsi="仿宋" w:cs="宋体"/>
          <w:sz w:val="24"/>
          <w:szCs w:val="24"/>
        </w:rPr>
        <w:t xml:space="preserve"> 基金会可以进行的投资行为主要包括以下情形：</w:t>
      </w:r>
    </w:p>
    <w:p w14:paraId="537808B0" w14:textId="5673B0C8" w:rsidR="008360EC" w:rsidRPr="00A43F13" w:rsidRDefault="00710654" w:rsidP="00073A3F">
      <w:pPr>
        <w:spacing w:line="360" w:lineRule="auto"/>
        <w:ind w:rightChars="164" w:right="361" w:firstLine="480"/>
        <w:rPr>
          <w:rFonts w:ascii="仿宋" w:eastAsia="仿宋" w:hAnsi="仿宋"/>
          <w:sz w:val="24"/>
          <w:szCs w:val="24"/>
        </w:rPr>
      </w:pPr>
      <w:r w:rsidRPr="00A43F13">
        <w:rPr>
          <w:rFonts w:ascii="仿宋" w:eastAsia="仿宋" w:hAnsi="仿宋" w:cs="宋体"/>
          <w:sz w:val="24"/>
          <w:szCs w:val="24"/>
        </w:rPr>
        <w:t>（一）直接购买银行、信托、证券、基金、期货、保险资产管理机构、金融资产投资公司等金融机构发行的资产管理产品；</w:t>
      </w:r>
    </w:p>
    <w:p w14:paraId="6CD82BF7" w14:textId="2F51CC03" w:rsidR="008360EC" w:rsidRPr="00A43F13" w:rsidRDefault="00710654" w:rsidP="00073A3F">
      <w:pPr>
        <w:spacing w:line="360" w:lineRule="auto"/>
        <w:ind w:leftChars="218" w:left="480"/>
        <w:rPr>
          <w:rFonts w:ascii="仿宋" w:eastAsia="仿宋" w:hAnsi="仿宋"/>
          <w:sz w:val="24"/>
          <w:szCs w:val="24"/>
        </w:rPr>
      </w:pPr>
      <w:r w:rsidRPr="00A43F13">
        <w:rPr>
          <w:rFonts w:ascii="仿宋" w:eastAsia="仿宋" w:hAnsi="仿宋" w:cs="宋体"/>
          <w:sz w:val="24"/>
          <w:szCs w:val="24"/>
        </w:rPr>
        <w:t>（二）通过发起设立、并购、参股等方式直接进行股权投资；</w:t>
      </w:r>
    </w:p>
    <w:p w14:paraId="0A3848BB" w14:textId="700C6362" w:rsidR="008360EC" w:rsidRPr="00A43F13" w:rsidRDefault="00710654" w:rsidP="00073A3F">
      <w:pPr>
        <w:spacing w:line="360" w:lineRule="auto"/>
        <w:ind w:leftChars="218" w:left="480"/>
        <w:rPr>
          <w:rFonts w:ascii="仿宋" w:eastAsia="仿宋" w:hAnsi="仿宋"/>
          <w:sz w:val="24"/>
          <w:szCs w:val="24"/>
        </w:rPr>
      </w:pPr>
      <w:r w:rsidRPr="00A43F13">
        <w:rPr>
          <w:rFonts w:ascii="仿宋" w:eastAsia="仿宋" w:hAnsi="仿宋" w:cs="宋体"/>
          <w:sz w:val="24"/>
          <w:szCs w:val="24"/>
        </w:rPr>
        <w:t>（三）将财产委托给受金融监督管理部门监管的机构进行投资。</w:t>
      </w:r>
    </w:p>
    <w:p w14:paraId="51401919" w14:textId="264D8DB4"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第十六条</w:t>
      </w:r>
      <w:r w:rsidRPr="00A43F13">
        <w:rPr>
          <w:rFonts w:ascii="仿宋" w:eastAsia="仿宋" w:hAnsi="仿宋" w:cs="宋体"/>
          <w:sz w:val="24"/>
          <w:szCs w:val="24"/>
        </w:rPr>
        <w:t xml:space="preserve"> 基金会如进行委托理财，应选择资信状况、财务状况良好，无不良诚信记录及盈利能力强的合格专业理财机构作为受托方，并与受托方签订书面合同，明确委托理财的金额、期间、投资品种、双方的权利义务及法律责任等。</w:t>
      </w:r>
    </w:p>
    <w:p w14:paraId="2D1F966E" w14:textId="084209D6"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第十七条</w:t>
      </w:r>
      <w:r w:rsidRPr="00A43F13">
        <w:rPr>
          <w:rFonts w:ascii="仿宋" w:eastAsia="仿宋" w:hAnsi="仿宋" w:cs="宋体"/>
          <w:sz w:val="24"/>
          <w:szCs w:val="24"/>
        </w:rPr>
        <w:t xml:space="preserve"> 基金会如进行对外投资，投资管理委员会应以年度为单位，向理事会、监事出具定期报告，报告中披露报告期内投资以及相应的损益情况，披露内容至少应包括：</w:t>
      </w:r>
    </w:p>
    <w:p w14:paraId="48879CA2" w14:textId="3C33D2C1" w:rsidR="008360EC" w:rsidRPr="00A43F13" w:rsidRDefault="00710654" w:rsidP="00073A3F">
      <w:pPr>
        <w:spacing w:line="360" w:lineRule="auto"/>
        <w:ind w:leftChars="182" w:left="400" w:firstLineChars="4" w:firstLine="10"/>
        <w:rPr>
          <w:rFonts w:ascii="仿宋" w:eastAsia="仿宋" w:hAnsi="仿宋"/>
          <w:sz w:val="24"/>
          <w:szCs w:val="24"/>
        </w:rPr>
      </w:pPr>
      <w:r w:rsidRPr="00A43F13">
        <w:rPr>
          <w:rFonts w:ascii="仿宋" w:eastAsia="仿宋" w:hAnsi="仿宋" w:cs="宋体"/>
          <w:sz w:val="24"/>
          <w:szCs w:val="24"/>
        </w:rPr>
        <w:t>（一）报告期末投资的组合情况，说明投资品种、金额以及占总投资的比例；</w:t>
      </w:r>
    </w:p>
    <w:p w14:paraId="70F7DDBA" w14:textId="378FEFF3" w:rsidR="008360EC" w:rsidRPr="00A43F13" w:rsidRDefault="00710654" w:rsidP="00073A3F">
      <w:pPr>
        <w:spacing w:line="360" w:lineRule="auto"/>
        <w:ind w:leftChars="182" w:left="400" w:firstLineChars="4" w:firstLine="10"/>
        <w:rPr>
          <w:rFonts w:ascii="仿宋" w:eastAsia="仿宋" w:hAnsi="仿宋"/>
          <w:sz w:val="24"/>
          <w:szCs w:val="24"/>
        </w:rPr>
      </w:pPr>
      <w:r w:rsidRPr="00A43F13">
        <w:rPr>
          <w:rFonts w:ascii="仿宋" w:eastAsia="仿宋" w:hAnsi="仿宋" w:cs="宋体"/>
          <w:sz w:val="24"/>
          <w:szCs w:val="24"/>
        </w:rPr>
        <w:t>（二）报告期内投资理财的损益情况</w:t>
      </w:r>
      <w:r w:rsidR="00073A3F" w:rsidRPr="00A43F13">
        <w:rPr>
          <w:rFonts w:ascii="仿宋" w:eastAsia="仿宋" w:hAnsi="仿宋" w:cs="宋体" w:hint="eastAsia"/>
          <w:sz w:val="24"/>
          <w:szCs w:val="24"/>
        </w:rPr>
        <w:t>；</w:t>
      </w:r>
    </w:p>
    <w:p w14:paraId="1B146603" w14:textId="393DEA43" w:rsidR="008360EC" w:rsidRPr="00A43F13" w:rsidRDefault="00710654" w:rsidP="00073A3F">
      <w:pPr>
        <w:spacing w:line="360" w:lineRule="auto"/>
        <w:ind w:leftChars="182" w:left="400" w:firstLineChars="4" w:firstLine="10"/>
        <w:rPr>
          <w:rFonts w:ascii="仿宋" w:eastAsia="仿宋" w:hAnsi="仿宋"/>
          <w:sz w:val="24"/>
          <w:szCs w:val="24"/>
        </w:rPr>
      </w:pPr>
      <w:r w:rsidRPr="00A43F13">
        <w:rPr>
          <w:rFonts w:ascii="仿宋" w:eastAsia="仿宋" w:hAnsi="仿宋" w:cs="宋体"/>
          <w:sz w:val="24"/>
          <w:szCs w:val="24"/>
        </w:rPr>
        <w:t>（三）对所投资行为的建议等。</w:t>
      </w:r>
    </w:p>
    <w:p w14:paraId="789A359D" w14:textId="77777777" w:rsidR="008360EC" w:rsidRPr="00A43F13" w:rsidRDefault="008360EC">
      <w:pPr>
        <w:spacing w:line="320" w:lineRule="exact"/>
        <w:rPr>
          <w:rFonts w:ascii="仿宋" w:eastAsia="仿宋" w:hAnsi="仿宋"/>
          <w:sz w:val="24"/>
          <w:szCs w:val="24"/>
        </w:rPr>
      </w:pPr>
    </w:p>
    <w:p w14:paraId="0125A455" w14:textId="4E050A9F" w:rsidR="00073A3F" w:rsidRPr="004B471C"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t>第四章 决策机构、监督机构相关职责</w:t>
      </w:r>
    </w:p>
    <w:p w14:paraId="309F304C" w14:textId="6013E3CC"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第十八条</w:t>
      </w:r>
      <w:r w:rsidRPr="00A43F13">
        <w:rPr>
          <w:rFonts w:ascii="仿宋" w:eastAsia="仿宋" w:hAnsi="仿宋" w:cs="宋体"/>
          <w:sz w:val="24"/>
          <w:szCs w:val="24"/>
        </w:rPr>
        <w:t xml:space="preserve"> 理事会为基金会投资最高决策机构，理事会投资职责如下：</w:t>
      </w:r>
      <w:bookmarkStart w:id="1" w:name="page3"/>
      <w:bookmarkEnd w:id="1"/>
    </w:p>
    <w:p w14:paraId="0CB2259F" w14:textId="08D2A8FD"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（一）负责投资管理办法的制定和修改；</w:t>
      </w:r>
    </w:p>
    <w:p w14:paraId="155E002C" w14:textId="4BEEDCEB" w:rsidR="008360EC" w:rsidRPr="00A43F13" w:rsidRDefault="00710654" w:rsidP="00575945">
      <w:pPr>
        <w:spacing w:line="360" w:lineRule="auto"/>
        <w:ind w:leftChars="82" w:left="180"/>
        <w:rPr>
          <w:rFonts w:ascii="仿宋" w:eastAsia="仿宋" w:hAnsi="仿宋"/>
          <w:sz w:val="24"/>
          <w:szCs w:val="24"/>
        </w:rPr>
      </w:pPr>
      <w:r w:rsidRPr="00A43F13">
        <w:rPr>
          <w:rFonts w:ascii="仿宋" w:eastAsia="仿宋" w:hAnsi="仿宋" w:cs="宋体"/>
          <w:sz w:val="24"/>
          <w:szCs w:val="24"/>
        </w:rPr>
        <w:t>（二）对重大投资方案进行决策；</w:t>
      </w:r>
    </w:p>
    <w:p w14:paraId="79CECE05" w14:textId="235043B6"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w:t>
      </w:r>
      <w:r w:rsidR="00575945" w:rsidRPr="00A43F13">
        <w:rPr>
          <w:rFonts w:ascii="仿宋" w:eastAsia="仿宋" w:hAnsi="仿宋" w:cs="宋体" w:hint="eastAsia"/>
          <w:sz w:val="24"/>
          <w:szCs w:val="24"/>
        </w:rPr>
        <w:t>三</w:t>
      </w:r>
      <w:r w:rsidRPr="00A43F13">
        <w:rPr>
          <w:rFonts w:ascii="仿宋" w:eastAsia="仿宋" w:hAnsi="仿宋" w:cs="宋体" w:hint="eastAsia"/>
          <w:sz w:val="24"/>
          <w:szCs w:val="24"/>
        </w:rPr>
        <w:t>）</w:t>
      </w:r>
      <w:r w:rsidRPr="00A43F13">
        <w:rPr>
          <w:rFonts w:ascii="仿宋" w:eastAsia="仿宋" w:hAnsi="仿宋" w:cs="宋体"/>
          <w:sz w:val="24"/>
          <w:szCs w:val="24"/>
        </w:rPr>
        <w:t>有权对所有投资行为进行决策。</w:t>
      </w:r>
    </w:p>
    <w:p w14:paraId="7D1ECE44" w14:textId="0356908A"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lastRenderedPageBreak/>
        <w:t>第十九条</w:t>
      </w:r>
      <w:r w:rsidRPr="00A43F13">
        <w:rPr>
          <w:rFonts w:ascii="仿宋" w:eastAsia="仿宋" w:hAnsi="仿宋" w:cs="宋体"/>
          <w:sz w:val="24"/>
          <w:szCs w:val="24"/>
        </w:rPr>
        <w:t xml:space="preserve"> 理事会认为必要时，可设立投资管理委员会，投资管理委员会由理事长、秘书长、理事以及外聘投资、财务、法务等专家组成。投资管理委员会人员由理事长提名、理事会决定。</w:t>
      </w:r>
    </w:p>
    <w:p w14:paraId="118E9D9F" w14:textId="2AF3B13D"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第二十条</w:t>
      </w:r>
      <w:r w:rsidRPr="00A43F13">
        <w:rPr>
          <w:rFonts w:ascii="仿宋" w:eastAsia="仿宋" w:hAnsi="仿宋" w:cs="宋体"/>
          <w:sz w:val="24"/>
          <w:szCs w:val="24"/>
        </w:rPr>
        <w:t xml:space="preserve"> 基金会财务组或投资管理委员会职责：</w:t>
      </w:r>
    </w:p>
    <w:p w14:paraId="17B1F812" w14:textId="56B08D3F"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（一）制定具体投资方案；</w:t>
      </w:r>
    </w:p>
    <w:p w14:paraId="40638834" w14:textId="4E278B85"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（二）对投资方案进行效益以及风险评估；</w:t>
      </w:r>
    </w:p>
    <w:p w14:paraId="011E6FAC" w14:textId="5E203ACA"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（三）在理事会授权下具体执行投资行为；</w:t>
      </w:r>
    </w:p>
    <w:p w14:paraId="59B19741" w14:textId="157C508B"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（四）对投资项目定期进行检查；</w:t>
      </w:r>
    </w:p>
    <w:p w14:paraId="7DCE9789" w14:textId="5D2AB352"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（五）理事会授权的其他职责。</w:t>
      </w:r>
    </w:p>
    <w:p w14:paraId="66253BAF" w14:textId="1186FB84"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第二十一条</w:t>
      </w:r>
      <w:r w:rsidRPr="00A43F13">
        <w:rPr>
          <w:rFonts w:ascii="仿宋" w:eastAsia="仿宋" w:hAnsi="仿宋" w:cs="宋体"/>
          <w:sz w:val="24"/>
          <w:szCs w:val="24"/>
        </w:rPr>
        <w:t xml:space="preserve"> 基金会监事，应根据其职责对投资理财行为的全程进行监督，秘书处应及时向监事报告。监事如发现违规行为应及时向基金会理事会提出纠正意见，对于重大问题应向基金会理事会报告。</w:t>
      </w:r>
    </w:p>
    <w:p w14:paraId="3D6F9EE3" w14:textId="77777777" w:rsidR="008360EC" w:rsidRPr="00A43F13" w:rsidRDefault="008360EC">
      <w:pPr>
        <w:spacing w:line="325" w:lineRule="exact"/>
        <w:rPr>
          <w:rFonts w:ascii="仿宋" w:eastAsia="仿宋" w:hAnsi="仿宋"/>
          <w:sz w:val="24"/>
          <w:szCs w:val="24"/>
        </w:rPr>
      </w:pPr>
    </w:p>
    <w:p w14:paraId="01E2A4CD" w14:textId="32754244" w:rsidR="008360EC" w:rsidRPr="00F207D7"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t>第五章 投资负面清单</w:t>
      </w:r>
    </w:p>
    <w:p w14:paraId="157E235A" w14:textId="57ADAC2F"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第二十二条</w:t>
      </w:r>
      <w:r w:rsidRPr="00A43F13">
        <w:rPr>
          <w:rFonts w:ascii="仿宋" w:eastAsia="仿宋" w:hAnsi="仿宋" w:cs="宋体"/>
          <w:sz w:val="24"/>
          <w:szCs w:val="24"/>
        </w:rPr>
        <w:t xml:space="preserve"> 基金会不得开展下列投资行为：</w:t>
      </w:r>
    </w:p>
    <w:p w14:paraId="74FBC49E" w14:textId="09FBEAC9"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（一）直接买卖股票；</w:t>
      </w:r>
    </w:p>
    <w:p w14:paraId="5C9CF8AD" w14:textId="206AE236"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（二）直接购买商品及金融衍生品类产品；</w:t>
      </w:r>
    </w:p>
    <w:p w14:paraId="5E75FAE6" w14:textId="3F74E624"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（三）投资人身保险产品；</w:t>
      </w:r>
    </w:p>
    <w:p w14:paraId="4C54A20D" w14:textId="02ADD996"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（四）以投资名义向个人、企业提供借款；</w:t>
      </w:r>
    </w:p>
    <w:p w14:paraId="6B5322E9" w14:textId="6280EF2F"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（五）不符合国家政策以及基金会宗旨和业务范围的投资；</w:t>
      </w:r>
    </w:p>
    <w:p w14:paraId="19975741" w14:textId="0764D7EA"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（六）承担无限连带责任的投资；</w:t>
      </w:r>
    </w:p>
    <w:p w14:paraId="0710B1BC" w14:textId="25A666A6"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（七）对外提供任何形式的经济担保或财产担保；</w:t>
      </w:r>
    </w:p>
    <w:p w14:paraId="753398A3" w14:textId="325AEC23"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（八）事违背本基金会使命、可能损害信誉的投资；</w:t>
      </w:r>
    </w:p>
    <w:p w14:paraId="094A9AE2" w14:textId="6521DAC5"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（九）国家法律法规禁止的其他活动。</w:t>
      </w:r>
    </w:p>
    <w:p w14:paraId="0E247DA9" w14:textId="77777777" w:rsidR="008360EC" w:rsidRPr="00A43F13" w:rsidRDefault="008360EC">
      <w:pPr>
        <w:spacing w:line="320" w:lineRule="exact"/>
        <w:rPr>
          <w:rFonts w:ascii="仿宋" w:eastAsia="仿宋" w:hAnsi="仿宋"/>
          <w:sz w:val="24"/>
          <w:szCs w:val="24"/>
        </w:rPr>
      </w:pPr>
    </w:p>
    <w:p w14:paraId="021EAD7A" w14:textId="577BEFA3" w:rsidR="008360EC" w:rsidRPr="00F207D7"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t>第六章 重大投资标准</w:t>
      </w:r>
    </w:p>
    <w:p w14:paraId="770F5676" w14:textId="54179B4A"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第二十三条</w:t>
      </w:r>
      <w:r w:rsidRPr="00A43F13">
        <w:rPr>
          <w:rFonts w:ascii="仿宋" w:eastAsia="仿宋" w:hAnsi="仿宋" w:cs="宋体"/>
          <w:sz w:val="24"/>
          <w:szCs w:val="24"/>
        </w:rPr>
        <w:t xml:space="preserve"> 基金会的重大投资活动是指：</w:t>
      </w:r>
      <w:bookmarkStart w:id="2" w:name="page4"/>
      <w:bookmarkEnd w:id="2"/>
    </w:p>
    <w:p w14:paraId="7B2A981C" w14:textId="3ACDB8B0"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（一）年度投资计划；</w:t>
      </w:r>
    </w:p>
    <w:p w14:paraId="0BB4DF1B" w14:textId="70A469FC"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（二）超过</w:t>
      </w:r>
      <w:r w:rsidR="00B05071" w:rsidRPr="00A43F13">
        <w:rPr>
          <w:rFonts w:ascii="仿宋" w:eastAsia="仿宋" w:hAnsi="仿宋" w:cs="宋体" w:hint="eastAsia"/>
          <w:sz w:val="24"/>
          <w:szCs w:val="24"/>
        </w:rPr>
        <w:t>人民币</w:t>
      </w:r>
      <w:r w:rsidR="009866B0">
        <w:rPr>
          <w:rFonts w:ascii="仿宋" w:eastAsia="仿宋" w:hAnsi="仿宋" w:cs="宋体" w:hint="eastAsia"/>
          <w:sz w:val="24"/>
          <w:szCs w:val="24"/>
        </w:rPr>
        <w:t>2</w:t>
      </w:r>
      <w:r w:rsidRPr="00A43F13">
        <w:rPr>
          <w:rFonts w:ascii="仿宋" w:eastAsia="仿宋" w:hAnsi="仿宋" w:cs="宋体"/>
          <w:sz w:val="24"/>
          <w:szCs w:val="24"/>
        </w:rPr>
        <w:t>00万元的投资活动；</w:t>
      </w:r>
    </w:p>
    <w:p w14:paraId="0918C615" w14:textId="7BBCAE5D"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（三）理事会认为对本基金会影响重大的其他投资活动。</w:t>
      </w:r>
    </w:p>
    <w:p w14:paraId="7079A1B2" w14:textId="2E8E6CC8"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lastRenderedPageBreak/>
        <w:t>第二十四条</w:t>
      </w:r>
      <w:r w:rsidRPr="00A43F13">
        <w:rPr>
          <w:rFonts w:ascii="仿宋" w:eastAsia="仿宋" w:hAnsi="仿宋" w:cs="宋体"/>
          <w:sz w:val="24"/>
          <w:szCs w:val="24"/>
        </w:rPr>
        <w:t xml:space="preserve"> 投资项目属于重大投资的，</w:t>
      </w:r>
      <w:r w:rsidR="00C51411" w:rsidRPr="00A43F13">
        <w:rPr>
          <w:rFonts w:ascii="仿宋" w:eastAsia="仿宋" w:hAnsi="仿宋" w:cs="宋体" w:hint="eastAsia"/>
          <w:sz w:val="24"/>
          <w:szCs w:val="24"/>
        </w:rPr>
        <w:t>理事会</w:t>
      </w:r>
      <w:r w:rsidRPr="00A43F13">
        <w:rPr>
          <w:rFonts w:ascii="仿宋" w:eastAsia="仿宋" w:hAnsi="仿宋" w:cs="宋体"/>
          <w:sz w:val="24"/>
          <w:szCs w:val="24"/>
        </w:rPr>
        <w:t>应对投资方案进行风险评估（利益相关方应回避），并向理事会提出初步意见，经理事会三分之二以上理事出席，全体理事成员的三分之二以上表决同意方可执行。理事会决议同意投资的，授权秘书长签署相关投资协议实施。</w:t>
      </w:r>
    </w:p>
    <w:p w14:paraId="053D2766" w14:textId="77777777" w:rsidR="008360EC" w:rsidRPr="00A43F13" w:rsidRDefault="008360EC">
      <w:pPr>
        <w:spacing w:line="325" w:lineRule="exact"/>
        <w:rPr>
          <w:rFonts w:ascii="仿宋" w:eastAsia="仿宋" w:hAnsi="仿宋"/>
          <w:sz w:val="24"/>
          <w:szCs w:val="24"/>
        </w:rPr>
      </w:pPr>
    </w:p>
    <w:p w14:paraId="12C4FA07" w14:textId="48A51E40" w:rsidR="008360EC" w:rsidRPr="00F207D7"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t>第七章 投资风险控制及止损机制</w:t>
      </w:r>
    </w:p>
    <w:p w14:paraId="2CB4AE3A" w14:textId="6B4F9549"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第二十五条</w:t>
      </w:r>
      <w:r w:rsidRPr="00A43F13">
        <w:rPr>
          <w:rFonts w:ascii="仿宋" w:eastAsia="仿宋" w:hAnsi="仿宋" w:cs="宋体"/>
          <w:sz w:val="24"/>
          <w:szCs w:val="24"/>
        </w:rPr>
        <w:t xml:space="preserve"> 基金会各项投资应明确投资止损原则，通过有效的过程管理控制投资风险。</w:t>
      </w:r>
    </w:p>
    <w:p w14:paraId="7150A4AA" w14:textId="388F44CF"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第二十六条</w:t>
      </w:r>
      <w:r w:rsidRPr="00A43F13">
        <w:rPr>
          <w:rFonts w:ascii="仿宋" w:eastAsia="仿宋" w:hAnsi="仿宋" w:cs="宋体"/>
          <w:sz w:val="24"/>
          <w:szCs w:val="24"/>
        </w:rPr>
        <w:t xml:space="preserve"> 基金会一般不直接投资举办经营性经济实体；确因特殊情况需要投资或参股经营性经济实体，经过风险评估和充分论证，谨慎参与，且投资收益高于银行同期存款利率；所投资举办的经营性经济实体资产和收益属于基金会所有，每年应进行财务审计，并将财务审计报告报送登记管理机关备案。</w:t>
      </w:r>
    </w:p>
    <w:p w14:paraId="3DC9FAEE" w14:textId="77777777"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第二十七条</w:t>
      </w:r>
      <w:r w:rsidRPr="00A43F13">
        <w:rPr>
          <w:rFonts w:ascii="仿宋" w:eastAsia="仿宋" w:hAnsi="仿宋" w:cs="宋体"/>
          <w:sz w:val="24"/>
          <w:szCs w:val="24"/>
        </w:rPr>
        <w:t xml:space="preserve"> 基金会的投资必须以基金会法人身份独立进行，必须遵循审慎原则。</w:t>
      </w:r>
    </w:p>
    <w:p w14:paraId="185887CC" w14:textId="671EF46C"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第二十八条</w:t>
      </w:r>
      <w:r w:rsidRPr="00A43F13">
        <w:rPr>
          <w:rFonts w:ascii="仿宋" w:eastAsia="仿宋" w:hAnsi="仿宋" w:cs="宋体"/>
          <w:sz w:val="24"/>
          <w:szCs w:val="24"/>
        </w:rPr>
        <w:t xml:space="preserve"> 基金会的投资合同须由基金会法定代表人签字。</w:t>
      </w:r>
    </w:p>
    <w:p w14:paraId="1809FEE2" w14:textId="2993CA72"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第二十九条</w:t>
      </w:r>
      <w:r w:rsidRPr="00A43F13">
        <w:rPr>
          <w:rFonts w:ascii="仿宋" w:eastAsia="仿宋" w:hAnsi="仿宋" w:cs="宋体"/>
          <w:sz w:val="24"/>
          <w:szCs w:val="24"/>
        </w:rPr>
        <w:t xml:space="preserve"> 在投资活动中，必须严格执行《基金会章程》规定，本基金会理事遇有个人利益与基金会利益关联时，不得参与相关事宜的决策；基金会理事、监事及其近亲属不得与基金会有任何交易行为，这项规定同样适用于投资管理委员会外聘成员。</w:t>
      </w:r>
    </w:p>
    <w:p w14:paraId="28596A46" w14:textId="25CA50E1"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第三十条</w:t>
      </w:r>
      <w:r w:rsidRPr="00A43F13">
        <w:rPr>
          <w:rFonts w:ascii="仿宋" w:eastAsia="仿宋" w:hAnsi="仿宋" w:cs="宋体"/>
          <w:sz w:val="24"/>
          <w:szCs w:val="24"/>
        </w:rPr>
        <w:t xml:space="preserve"> 秘书处应指派专人跟踪投资的进展及安全状况，出现异常情况时应及时报告理事会和监事，以便理事会尽快做出决定，避免或减少损失。</w:t>
      </w:r>
    </w:p>
    <w:p w14:paraId="2E6B3AD7" w14:textId="17956E3A"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第三十一条</w:t>
      </w:r>
      <w:r w:rsidRPr="00A43F13">
        <w:rPr>
          <w:rFonts w:ascii="仿宋" w:eastAsia="仿宋" w:hAnsi="仿宋" w:cs="宋体"/>
          <w:sz w:val="24"/>
          <w:szCs w:val="24"/>
        </w:rPr>
        <w:t xml:space="preserve"> 基金会单项投资行为发生亏损达到投入额10%的，财务组或</w:t>
      </w:r>
      <w:r w:rsidR="00C6385C" w:rsidRPr="00A43F13">
        <w:rPr>
          <w:rFonts w:ascii="仿宋" w:eastAsia="仿宋" w:hAnsi="仿宋" w:cs="宋体" w:hint="eastAsia"/>
          <w:sz w:val="24"/>
          <w:szCs w:val="24"/>
        </w:rPr>
        <w:t>理事会</w:t>
      </w:r>
      <w:r w:rsidRPr="00A43F13">
        <w:rPr>
          <w:rFonts w:ascii="仿宋" w:eastAsia="仿宋" w:hAnsi="仿宋" w:cs="宋体"/>
          <w:sz w:val="24"/>
          <w:szCs w:val="24"/>
        </w:rPr>
        <w:t>应当及时进行止损，收回、变现等方式。属于重大投资行为的，应当及时向理事会汇报，提出止损意见，提交理事会决策。</w:t>
      </w:r>
    </w:p>
    <w:p w14:paraId="0841E454" w14:textId="7A14E194" w:rsidR="008360EC" w:rsidRPr="00A43F13" w:rsidRDefault="00710654" w:rsidP="00073A3F">
      <w:pPr>
        <w:tabs>
          <w:tab w:val="left" w:pos="2260"/>
        </w:tabs>
        <w:spacing w:line="360" w:lineRule="auto"/>
        <w:rPr>
          <w:rFonts w:ascii="仿宋" w:eastAsia="仿宋" w:hAnsi="仿宋"/>
          <w:sz w:val="24"/>
          <w:szCs w:val="24"/>
        </w:rPr>
      </w:pPr>
      <w:r w:rsidRPr="00A43F13">
        <w:rPr>
          <w:rFonts w:ascii="仿宋" w:eastAsia="仿宋" w:hAnsi="仿宋" w:cs="宋体"/>
          <w:b/>
          <w:bCs/>
          <w:sz w:val="24"/>
          <w:szCs w:val="24"/>
        </w:rPr>
        <w:t>第三十二条</w:t>
      </w:r>
      <w:r w:rsidR="00073A3F" w:rsidRPr="00A43F13">
        <w:rPr>
          <w:rFonts w:ascii="仿宋" w:eastAsia="仿宋" w:hAnsi="仿宋" w:cs="宋体"/>
          <w:sz w:val="24"/>
          <w:szCs w:val="24"/>
        </w:rPr>
        <w:t xml:space="preserve"> </w:t>
      </w:r>
      <w:r w:rsidRPr="00A43F13">
        <w:rPr>
          <w:rFonts w:ascii="仿宋" w:eastAsia="仿宋" w:hAnsi="仿宋" w:cs="宋体"/>
          <w:sz w:val="24"/>
          <w:szCs w:val="24"/>
        </w:rPr>
        <w:t>投资行为出现以下行为之一的，投资活动终止：</w:t>
      </w:r>
    </w:p>
    <w:p w14:paraId="72EEF7EE" w14:textId="0E1EEC52"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（一）投资项目期限届满的；</w:t>
      </w:r>
    </w:p>
    <w:p w14:paraId="292D4F5F" w14:textId="5AB27059"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（二）投资项目亏损达到本金10%的；</w:t>
      </w:r>
    </w:p>
    <w:p w14:paraId="2D27AC67" w14:textId="2792737F"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（三）投资项目可能会影响基金会宗旨和声誉的；</w:t>
      </w:r>
    </w:p>
    <w:p w14:paraId="35A950F0" w14:textId="38659FFC"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（四）委托第三方投资公司主体资格灭失或者被司法机关追究刑事责任的；</w:t>
      </w:r>
    </w:p>
    <w:p w14:paraId="7DBCCDEA" w14:textId="2DB76003"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（五）理事会认为应当终止的；</w:t>
      </w:r>
      <w:bookmarkStart w:id="3" w:name="page5"/>
      <w:bookmarkEnd w:id="3"/>
    </w:p>
    <w:p w14:paraId="2F397942" w14:textId="6EEB2848" w:rsidR="008360EC" w:rsidRPr="00A43F13" w:rsidRDefault="00710654" w:rsidP="00073A3F">
      <w:pPr>
        <w:spacing w:line="360" w:lineRule="auto"/>
        <w:ind w:leftChars="82" w:left="180"/>
        <w:rPr>
          <w:rFonts w:ascii="仿宋" w:eastAsia="仿宋" w:hAnsi="仿宋"/>
          <w:sz w:val="24"/>
          <w:szCs w:val="24"/>
        </w:rPr>
      </w:pPr>
      <w:r w:rsidRPr="00A43F13">
        <w:rPr>
          <w:rFonts w:ascii="仿宋" w:eastAsia="仿宋" w:hAnsi="仿宋" w:cs="宋体"/>
          <w:sz w:val="24"/>
          <w:szCs w:val="24"/>
        </w:rPr>
        <w:t>（六）其他应当终止的情形发生的。</w:t>
      </w:r>
    </w:p>
    <w:p w14:paraId="588D9638" w14:textId="76A90D61"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lastRenderedPageBreak/>
        <w:t>第三十三条</w:t>
      </w:r>
      <w:r w:rsidR="00C6385C" w:rsidRPr="00A43F13">
        <w:rPr>
          <w:rFonts w:ascii="仿宋" w:eastAsia="仿宋" w:hAnsi="仿宋" w:cs="宋体" w:hint="eastAsia"/>
          <w:sz w:val="24"/>
          <w:szCs w:val="24"/>
        </w:rPr>
        <w:t xml:space="preserve"> </w:t>
      </w:r>
      <w:r w:rsidRPr="00A43F13">
        <w:rPr>
          <w:rFonts w:ascii="仿宋" w:eastAsia="仿宋" w:hAnsi="仿宋" w:cs="宋体"/>
          <w:sz w:val="24"/>
          <w:szCs w:val="24"/>
        </w:rPr>
        <w:t>基金会从上一年总收入中提取不超过5%的资金作为基金会的风险准备金。当风险准备金余额到达注册资本时，经理事会批准后不再提取。</w:t>
      </w:r>
    </w:p>
    <w:p w14:paraId="4AC8B551" w14:textId="77777777" w:rsidR="008360EC" w:rsidRPr="00A43F13" w:rsidRDefault="008360EC">
      <w:pPr>
        <w:spacing w:line="320" w:lineRule="exact"/>
        <w:rPr>
          <w:rFonts w:ascii="仿宋" w:eastAsia="仿宋" w:hAnsi="仿宋"/>
          <w:sz w:val="24"/>
          <w:szCs w:val="24"/>
        </w:rPr>
      </w:pPr>
    </w:p>
    <w:p w14:paraId="3D73392D" w14:textId="01865585" w:rsidR="008360EC" w:rsidRPr="00F207D7"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t>第八章 违规投资责任追究</w:t>
      </w:r>
    </w:p>
    <w:p w14:paraId="31911923" w14:textId="5DAE8016"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第三十四条</w:t>
      </w:r>
      <w:r w:rsidRPr="00A43F13">
        <w:rPr>
          <w:rFonts w:ascii="仿宋" w:eastAsia="仿宋" w:hAnsi="仿宋" w:cs="宋体"/>
          <w:sz w:val="24"/>
          <w:szCs w:val="24"/>
        </w:rPr>
        <w:t xml:space="preserve"> 基金会投资行为实体和程序上都合法合规的，基金会理事</w:t>
      </w:r>
      <w:r w:rsidR="009866B0">
        <w:rPr>
          <w:rFonts w:ascii="仿宋" w:eastAsia="仿宋" w:hAnsi="仿宋" w:cs="宋体" w:hint="eastAsia"/>
          <w:sz w:val="24"/>
          <w:szCs w:val="24"/>
        </w:rPr>
        <w:t>长</w:t>
      </w:r>
      <w:r w:rsidRPr="00A43F13">
        <w:rPr>
          <w:rFonts w:ascii="仿宋" w:eastAsia="仿宋" w:hAnsi="仿宋" w:cs="宋体"/>
          <w:sz w:val="24"/>
          <w:szCs w:val="24"/>
        </w:rPr>
        <w:t>、</w:t>
      </w:r>
      <w:r w:rsidR="009866B0">
        <w:rPr>
          <w:rFonts w:ascii="仿宋" w:eastAsia="仿宋" w:hAnsi="仿宋" w:cs="宋体" w:hint="eastAsia"/>
          <w:sz w:val="24"/>
          <w:szCs w:val="24"/>
        </w:rPr>
        <w:t>理事</w:t>
      </w:r>
      <w:r w:rsidRPr="00A43F13">
        <w:rPr>
          <w:rFonts w:ascii="仿宋" w:eastAsia="仿宋" w:hAnsi="仿宋" w:cs="宋体"/>
          <w:sz w:val="24"/>
          <w:szCs w:val="24"/>
        </w:rPr>
        <w:t>等尽到了忠实、勤勉、谨慎义务，由于市场不可预见原因导致投资亏损的，并且尽到了止损义务的，相关人员无需承担赔偿责任。</w:t>
      </w:r>
    </w:p>
    <w:p w14:paraId="4EE07233" w14:textId="29C4A9CB" w:rsidR="008360EC" w:rsidRPr="00A43F13" w:rsidRDefault="00710654" w:rsidP="00073A3F">
      <w:pPr>
        <w:spacing w:line="360" w:lineRule="auto"/>
        <w:jc w:val="both"/>
        <w:rPr>
          <w:rFonts w:ascii="仿宋" w:eastAsia="仿宋" w:hAnsi="仿宋"/>
          <w:sz w:val="24"/>
          <w:szCs w:val="24"/>
        </w:rPr>
      </w:pPr>
      <w:r w:rsidRPr="00A43F13">
        <w:rPr>
          <w:rFonts w:ascii="仿宋" w:eastAsia="仿宋" w:hAnsi="仿宋" w:cs="宋体"/>
          <w:b/>
          <w:bCs/>
          <w:sz w:val="24"/>
          <w:szCs w:val="24"/>
        </w:rPr>
        <w:t>第三十五条</w:t>
      </w:r>
      <w:r w:rsidRPr="00A43F13">
        <w:rPr>
          <w:rFonts w:ascii="仿宋" w:eastAsia="仿宋" w:hAnsi="仿宋" w:cs="宋体"/>
          <w:sz w:val="24"/>
          <w:szCs w:val="24"/>
        </w:rPr>
        <w:t xml:space="preserve"> 违法违规决策致使基金会财产损失的，相关人员应当承担相应赔偿责任。</w:t>
      </w:r>
    </w:p>
    <w:p w14:paraId="1389FC60" w14:textId="77777777" w:rsidR="008360EC" w:rsidRPr="00A43F13" w:rsidRDefault="008360EC">
      <w:pPr>
        <w:spacing w:line="325" w:lineRule="exact"/>
        <w:rPr>
          <w:rFonts w:ascii="仿宋" w:eastAsia="仿宋" w:hAnsi="仿宋"/>
          <w:sz w:val="24"/>
          <w:szCs w:val="24"/>
        </w:rPr>
      </w:pPr>
    </w:p>
    <w:p w14:paraId="5379DB93" w14:textId="198B81BF" w:rsidR="008360EC" w:rsidRPr="00F207D7" w:rsidRDefault="00710654" w:rsidP="00F207D7">
      <w:pPr>
        <w:spacing w:afterLines="50" w:after="120" w:line="360" w:lineRule="auto"/>
        <w:jc w:val="center"/>
        <w:rPr>
          <w:rFonts w:ascii="仿宋" w:eastAsia="仿宋" w:hAnsi="仿宋" w:cs="宋体"/>
          <w:b/>
          <w:bCs/>
          <w:sz w:val="24"/>
          <w:szCs w:val="24"/>
        </w:rPr>
      </w:pPr>
      <w:r w:rsidRPr="00A43F13">
        <w:rPr>
          <w:rFonts w:ascii="仿宋" w:eastAsia="仿宋" w:hAnsi="仿宋" w:cs="宋体"/>
          <w:b/>
          <w:bCs/>
          <w:sz w:val="24"/>
          <w:szCs w:val="24"/>
        </w:rPr>
        <w:t>第九章 附则</w:t>
      </w:r>
    </w:p>
    <w:p w14:paraId="0B38E40D" w14:textId="0A6B434E"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第三十六条</w:t>
      </w:r>
      <w:r w:rsidRPr="00A43F13">
        <w:rPr>
          <w:rFonts w:ascii="仿宋" w:eastAsia="仿宋" w:hAnsi="仿宋" w:cs="宋体"/>
          <w:sz w:val="24"/>
          <w:szCs w:val="24"/>
        </w:rPr>
        <w:t xml:space="preserve"> 本制度的解释权归</w:t>
      </w:r>
      <w:r w:rsidR="009866B0">
        <w:rPr>
          <w:rFonts w:ascii="仿宋" w:eastAsia="仿宋" w:hAnsi="仿宋" w:cs="宋体" w:hint="eastAsia"/>
          <w:sz w:val="24"/>
          <w:szCs w:val="24"/>
        </w:rPr>
        <w:t>北京中和公益基金会</w:t>
      </w:r>
      <w:r w:rsidR="0028363A">
        <w:rPr>
          <w:rFonts w:ascii="仿宋" w:eastAsia="仿宋" w:hAnsi="仿宋" w:cs="宋体" w:hint="eastAsia"/>
          <w:sz w:val="24"/>
          <w:szCs w:val="24"/>
        </w:rPr>
        <w:t>理事会</w:t>
      </w:r>
      <w:r w:rsidRPr="00A43F13">
        <w:rPr>
          <w:rFonts w:ascii="仿宋" w:eastAsia="仿宋" w:hAnsi="仿宋" w:cs="宋体"/>
          <w:sz w:val="24"/>
          <w:szCs w:val="24"/>
        </w:rPr>
        <w:t>。</w:t>
      </w:r>
    </w:p>
    <w:p w14:paraId="209182AB" w14:textId="032B2734" w:rsidR="008360EC" w:rsidRPr="00A43F13" w:rsidRDefault="00710654" w:rsidP="00073A3F">
      <w:pPr>
        <w:spacing w:line="360" w:lineRule="auto"/>
        <w:rPr>
          <w:rFonts w:ascii="仿宋" w:eastAsia="仿宋" w:hAnsi="仿宋"/>
          <w:sz w:val="24"/>
          <w:szCs w:val="24"/>
        </w:rPr>
      </w:pPr>
      <w:r w:rsidRPr="00A43F13">
        <w:rPr>
          <w:rFonts w:ascii="仿宋" w:eastAsia="仿宋" w:hAnsi="仿宋" w:cs="宋体"/>
          <w:b/>
          <w:bCs/>
          <w:sz w:val="24"/>
          <w:szCs w:val="24"/>
        </w:rPr>
        <w:t>第三十七条</w:t>
      </w:r>
      <w:r w:rsidRPr="00A43F13">
        <w:rPr>
          <w:rFonts w:ascii="仿宋" w:eastAsia="仿宋" w:hAnsi="仿宋" w:cs="宋体"/>
          <w:sz w:val="24"/>
          <w:szCs w:val="24"/>
        </w:rPr>
        <w:t xml:space="preserve"> </w:t>
      </w:r>
      <w:r w:rsidR="00B413EF" w:rsidRPr="001305A0">
        <w:rPr>
          <w:rFonts w:ascii="仿宋" w:eastAsia="仿宋" w:hAnsi="仿宋" w:cs="宋体"/>
          <w:sz w:val="24"/>
          <w:szCs w:val="24"/>
        </w:rPr>
        <w:t>本制度经</w:t>
      </w:r>
      <w:r w:rsidR="00B413EF">
        <w:rPr>
          <w:rFonts w:ascii="仿宋" w:eastAsia="仿宋" w:hAnsi="仿宋" w:cs="宋体" w:hint="eastAsia"/>
          <w:sz w:val="24"/>
          <w:szCs w:val="24"/>
        </w:rPr>
        <w:t>2024年9月3日基金会第二届理事会第3会议</w:t>
      </w:r>
      <w:r w:rsidR="00B413EF" w:rsidRPr="001305A0">
        <w:rPr>
          <w:rFonts w:ascii="仿宋" w:eastAsia="仿宋" w:hAnsi="仿宋" w:cs="宋体"/>
          <w:sz w:val="24"/>
          <w:szCs w:val="24"/>
        </w:rPr>
        <w:t>审议通过</w:t>
      </w:r>
      <w:r w:rsidR="00B413EF">
        <w:rPr>
          <w:rFonts w:ascii="仿宋" w:eastAsia="仿宋" w:hAnsi="仿宋" w:cs="宋体" w:hint="eastAsia"/>
          <w:sz w:val="24"/>
          <w:szCs w:val="24"/>
        </w:rPr>
        <w:t>，自2024年9月5</w:t>
      </w:r>
      <w:r w:rsidR="00B413EF" w:rsidRPr="001305A0">
        <w:rPr>
          <w:rFonts w:ascii="仿宋" w:eastAsia="仿宋" w:hAnsi="仿宋" w:cs="宋体"/>
          <w:sz w:val="24"/>
          <w:szCs w:val="24"/>
        </w:rPr>
        <w:t>日起施行</w:t>
      </w:r>
      <w:r w:rsidRPr="00A43F13">
        <w:rPr>
          <w:rFonts w:ascii="仿宋" w:eastAsia="仿宋" w:hAnsi="仿宋" w:cs="宋体"/>
          <w:sz w:val="24"/>
          <w:szCs w:val="24"/>
        </w:rPr>
        <w:t>。</w:t>
      </w:r>
    </w:p>
    <w:sectPr w:rsidR="008360EC" w:rsidRPr="00A43F13" w:rsidSect="00774CAB">
      <w:headerReference w:type="even" r:id="rId6"/>
      <w:footerReference w:type="even" r:id="rId7"/>
      <w:footerReference w:type="default" r:id="rId8"/>
      <w:pgSz w:w="11900" w:h="16840"/>
      <w:pgMar w:top="1472" w:right="1440" w:bottom="1440" w:left="1560" w:header="0" w:footer="881" w:gutter="0"/>
      <w:cols w:space="720"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C5CBA" w14:textId="77777777" w:rsidR="0081680C" w:rsidRDefault="0081680C" w:rsidP="008300AC">
      <w:r>
        <w:separator/>
      </w:r>
    </w:p>
  </w:endnote>
  <w:endnote w:type="continuationSeparator" w:id="0">
    <w:p w14:paraId="3D7F7834" w14:textId="77777777" w:rsidR="0081680C" w:rsidRDefault="0081680C" w:rsidP="0083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422846999"/>
      <w:docPartObj>
        <w:docPartGallery w:val="Page Numbers (Bottom of Page)"/>
        <w:docPartUnique/>
      </w:docPartObj>
    </w:sdtPr>
    <w:sdtContent>
      <w:p w14:paraId="6FC5428F" w14:textId="32AC0720" w:rsidR="008300AC" w:rsidRDefault="008300AC"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6370F57" w14:textId="77777777" w:rsidR="008300AC" w:rsidRDefault="008300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059092824"/>
      <w:docPartObj>
        <w:docPartGallery w:val="Page Numbers (Bottom of Page)"/>
        <w:docPartUnique/>
      </w:docPartObj>
    </w:sdtPr>
    <w:sdtContent>
      <w:p w14:paraId="06C0C91F" w14:textId="6F15B519" w:rsidR="008300AC" w:rsidRDefault="008300AC"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11D038BF" w14:textId="77777777" w:rsidR="008300AC" w:rsidRDefault="008300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222C2" w14:textId="77777777" w:rsidR="0081680C" w:rsidRDefault="0081680C" w:rsidP="008300AC">
      <w:r>
        <w:separator/>
      </w:r>
    </w:p>
  </w:footnote>
  <w:footnote w:type="continuationSeparator" w:id="0">
    <w:p w14:paraId="0A1C92CE" w14:textId="77777777" w:rsidR="0081680C" w:rsidRDefault="0081680C" w:rsidP="0083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970748537"/>
      <w:docPartObj>
        <w:docPartGallery w:val="Page Numbers (Top of Page)"/>
        <w:docPartUnique/>
      </w:docPartObj>
    </w:sdtPr>
    <w:sdtContent>
      <w:p w14:paraId="1C2C4CF4" w14:textId="521DFA24" w:rsidR="008300AC" w:rsidRDefault="008300AC" w:rsidP="009405FA">
        <w:pPr>
          <w:pStyle w:val="a3"/>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F2ADCB9" w14:textId="77777777" w:rsidR="008300AC" w:rsidRDefault="008300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EC"/>
    <w:rsid w:val="00073A3F"/>
    <w:rsid w:val="000918CE"/>
    <w:rsid w:val="001173E1"/>
    <w:rsid w:val="00203E03"/>
    <w:rsid w:val="0028363A"/>
    <w:rsid w:val="00374440"/>
    <w:rsid w:val="00471395"/>
    <w:rsid w:val="004B471C"/>
    <w:rsid w:val="004D7DAB"/>
    <w:rsid w:val="00575945"/>
    <w:rsid w:val="00605721"/>
    <w:rsid w:val="006D6744"/>
    <w:rsid w:val="00710654"/>
    <w:rsid w:val="00717159"/>
    <w:rsid w:val="00774CAB"/>
    <w:rsid w:val="007C4EC9"/>
    <w:rsid w:val="007F10DF"/>
    <w:rsid w:val="008053F2"/>
    <w:rsid w:val="0081680C"/>
    <w:rsid w:val="008300AC"/>
    <w:rsid w:val="008360EC"/>
    <w:rsid w:val="008B146E"/>
    <w:rsid w:val="009732FF"/>
    <w:rsid w:val="009866B0"/>
    <w:rsid w:val="00994B55"/>
    <w:rsid w:val="00A32276"/>
    <w:rsid w:val="00A43F13"/>
    <w:rsid w:val="00A65867"/>
    <w:rsid w:val="00AF1159"/>
    <w:rsid w:val="00B05071"/>
    <w:rsid w:val="00B413EF"/>
    <w:rsid w:val="00B934F6"/>
    <w:rsid w:val="00C4262B"/>
    <w:rsid w:val="00C51411"/>
    <w:rsid w:val="00C6385C"/>
    <w:rsid w:val="00CA463A"/>
    <w:rsid w:val="00D0374E"/>
    <w:rsid w:val="00F207D7"/>
    <w:rsid w:val="00FD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67A"/>
  <w15:docId w15:val="{B98AE58D-31A4-4CB1-BDB1-9EF0D3F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0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0AC"/>
    <w:rPr>
      <w:sz w:val="18"/>
      <w:szCs w:val="18"/>
    </w:rPr>
  </w:style>
  <w:style w:type="paragraph" w:styleId="a5">
    <w:name w:val="footer"/>
    <w:basedOn w:val="a"/>
    <w:link w:val="a6"/>
    <w:uiPriority w:val="99"/>
    <w:unhideWhenUsed/>
    <w:rsid w:val="008300AC"/>
    <w:pPr>
      <w:tabs>
        <w:tab w:val="center" w:pos="4153"/>
        <w:tab w:val="right" w:pos="8306"/>
      </w:tabs>
      <w:snapToGrid w:val="0"/>
    </w:pPr>
    <w:rPr>
      <w:sz w:val="18"/>
      <w:szCs w:val="18"/>
    </w:rPr>
  </w:style>
  <w:style w:type="character" w:customStyle="1" w:styleId="a6">
    <w:name w:val="页脚 字符"/>
    <w:basedOn w:val="a0"/>
    <w:link w:val="a5"/>
    <w:uiPriority w:val="99"/>
    <w:rsid w:val="008300AC"/>
    <w:rPr>
      <w:sz w:val="18"/>
      <w:szCs w:val="18"/>
    </w:rPr>
  </w:style>
  <w:style w:type="character" w:styleId="a7">
    <w:name w:val="page number"/>
    <w:basedOn w:val="a0"/>
    <w:uiPriority w:val="99"/>
    <w:semiHidden/>
    <w:unhideWhenUsed/>
    <w:rsid w:val="0083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良店王</cp:lastModifiedBy>
  <cp:revision>24</cp:revision>
  <dcterms:created xsi:type="dcterms:W3CDTF">2020-12-07T14:57:00Z</dcterms:created>
  <dcterms:modified xsi:type="dcterms:W3CDTF">2024-10-28T05:42:00Z</dcterms:modified>
</cp:coreProperties>
</file>